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F74" w14:textId="1546D2BD" w:rsidR="00AD5BCE" w:rsidRPr="00FF440F" w:rsidRDefault="00981741" w:rsidP="00651DCF">
      <w:pPr>
        <w:pStyle w:val="Heading1"/>
        <w:ind w:left="284" w:hanging="284"/>
        <w:rPr>
          <w:sz w:val="22"/>
          <w:szCs w:val="22"/>
          <w:u w:val="none"/>
          <w:lang w:val="el-GR" w:eastAsia="en-US"/>
        </w:rPr>
      </w:pPr>
      <w:r>
        <w:rPr>
          <w:bCs w:val="0"/>
          <w:sz w:val="22"/>
          <w:szCs w:val="22"/>
          <w:u w:val="none"/>
          <w:lang w:val="el-GR" w:eastAsia="en-US"/>
        </w:rPr>
        <w:tab/>
      </w:r>
      <w:r w:rsidR="009E285A" w:rsidRPr="001877AF">
        <w:rPr>
          <w:bCs w:val="0"/>
          <w:sz w:val="22"/>
          <w:szCs w:val="22"/>
          <w:u w:val="none"/>
          <w:lang w:val="el-GR" w:eastAsia="en-US"/>
        </w:rPr>
        <w:t xml:space="preserve">ΑΠΟΤΕΛΕΣΜΑΤΑ ΟΜΙΛΟΥ ΟΤΕ ΓΙΑ ΤΟ </w:t>
      </w:r>
      <w:r w:rsidR="00074C4A">
        <w:rPr>
          <w:bCs w:val="0"/>
          <w:sz w:val="22"/>
          <w:szCs w:val="22"/>
          <w:u w:val="none"/>
          <w:lang w:val="el-GR" w:eastAsia="en-US"/>
        </w:rPr>
        <w:t>Δ</w:t>
      </w:r>
      <w:r w:rsidR="009E285A" w:rsidRPr="001877AF">
        <w:rPr>
          <w:bCs w:val="0"/>
          <w:sz w:val="22"/>
          <w:szCs w:val="22"/>
          <w:u w:val="none"/>
          <w:lang w:val="el-GR" w:eastAsia="en-US"/>
        </w:rPr>
        <w:t xml:space="preserve">’ ΤΡΙΜΗΝΟ </w:t>
      </w:r>
      <w:r w:rsidR="00074C4A">
        <w:rPr>
          <w:bCs w:val="0"/>
          <w:sz w:val="22"/>
          <w:szCs w:val="22"/>
          <w:u w:val="none"/>
          <w:lang w:val="el-GR" w:eastAsia="en-US"/>
        </w:rPr>
        <w:t xml:space="preserve">ΚΑΙ ΕΤΟΣ </w:t>
      </w:r>
      <w:r w:rsidR="009E285A" w:rsidRPr="001877AF">
        <w:rPr>
          <w:bCs w:val="0"/>
          <w:sz w:val="22"/>
          <w:szCs w:val="22"/>
          <w:u w:val="none"/>
          <w:lang w:val="el-GR" w:eastAsia="en-US"/>
        </w:rPr>
        <w:t>ΤΟΥ 202</w:t>
      </w:r>
      <w:r w:rsidR="00E94B28">
        <w:rPr>
          <w:bCs w:val="0"/>
          <w:sz w:val="22"/>
          <w:szCs w:val="22"/>
          <w:u w:val="none"/>
          <w:lang w:val="el-GR" w:eastAsia="en-US"/>
        </w:rPr>
        <w:t>4</w:t>
      </w:r>
    </w:p>
    <w:p w14:paraId="1B06E737" w14:textId="1C9BCDC2" w:rsidR="00BF30FA" w:rsidRDefault="00BF30FA" w:rsidP="00413DFC">
      <w:pPr>
        <w:ind w:right="167"/>
        <w:jc w:val="both"/>
        <w:rPr>
          <w:rFonts w:ascii="Arial" w:hAnsi="Arial" w:cs="Arial"/>
          <w:b/>
          <w:bCs/>
          <w:color w:val="000000" w:themeColor="text1"/>
        </w:rPr>
      </w:pPr>
    </w:p>
    <w:p w14:paraId="693F465C" w14:textId="590F5408" w:rsidR="006E2EDC" w:rsidRPr="008D47BE" w:rsidRDefault="000D677C" w:rsidP="006E2ED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53" behindDoc="0" locked="0" layoutInCell="1" allowOverlap="1" wp14:anchorId="20AF7625" wp14:editId="0AC35768">
                <wp:simplePos x="0" y="0"/>
                <wp:positionH relativeFrom="page">
                  <wp:posOffset>-40640</wp:posOffset>
                </wp:positionH>
                <wp:positionV relativeFrom="paragraph">
                  <wp:posOffset>207645</wp:posOffset>
                </wp:positionV>
                <wp:extent cx="7593965" cy="2580640"/>
                <wp:effectExtent l="0" t="0" r="6985" b="0"/>
                <wp:wrapNone/>
                <wp:docPr id="21" name="Rectangle 21"/>
                <wp:cNvGraphicFramePr/>
                <a:graphic xmlns:a="http://schemas.openxmlformats.org/drawingml/2006/main">
                  <a:graphicData uri="http://schemas.microsoft.com/office/word/2010/wordprocessingShape">
                    <wps:wsp>
                      <wps:cNvSpPr/>
                      <wps:spPr>
                        <a:xfrm>
                          <a:off x="0" y="0"/>
                          <a:ext cx="7593965" cy="258064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BF3B0" w14:textId="0DCD60A0" w:rsidR="000D677C" w:rsidRPr="009A20C8" w:rsidRDefault="000D677C" w:rsidP="009A20C8">
                            <w:pPr>
                              <w:pStyle w:val="ListParagraph"/>
                              <w:numPr>
                                <w:ilvl w:val="0"/>
                                <w:numId w:val="8"/>
                              </w:numPr>
                              <w:spacing w:line="280" w:lineRule="exact"/>
                              <w:ind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Επιτάχυνση του ρυθμού ανάπτυξης του Προσαρμοσμένου EBITDA (AL) στην Ελλάδα – στο +1,8%</w:t>
                            </w:r>
                            <w:r w:rsidR="00F96876" w:rsidRPr="009A20C8">
                              <w:rPr>
                                <w:rFonts w:ascii="Arial" w:hAnsi="Arial" w:cs="Arial"/>
                                <w:b/>
                                <w:bCs/>
                                <w:color w:val="FFFFFF" w:themeColor="background1"/>
                                <w:sz w:val="21"/>
                                <w:szCs w:val="21"/>
                                <w:lang w:val="el-GR"/>
                              </w:rPr>
                              <w:t xml:space="preserve"> το Δ’</w:t>
                            </w:r>
                            <w:r w:rsidR="00902B2E" w:rsidRPr="009A20C8">
                              <w:rPr>
                                <w:rFonts w:ascii="Arial" w:hAnsi="Arial" w:cs="Arial"/>
                                <w:b/>
                                <w:bCs/>
                                <w:color w:val="FFFFFF" w:themeColor="background1"/>
                                <w:sz w:val="21"/>
                                <w:szCs w:val="21"/>
                                <w:lang w:val="el-GR"/>
                              </w:rPr>
                              <w:t xml:space="preserve"> Τ</w:t>
                            </w:r>
                            <w:r w:rsidR="00F96876" w:rsidRPr="009A20C8">
                              <w:rPr>
                                <w:rFonts w:ascii="Arial" w:hAnsi="Arial" w:cs="Arial"/>
                                <w:b/>
                                <w:bCs/>
                                <w:color w:val="FFFFFF" w:themeColor="background1"/>
                                <w:sz w:val="21"/>
                                <w:szCs w:val="21"/>
                                <w:lang w:val="el-GR"/>
                              </w:rPr>
                              <w:t>ρίμηνο</w:t>
                            </w:r>
                          </w:p>
                          <w:p w14:paraId="72B06700" w14:textId="2A421FAD"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Τα έσοδα επηρεάστηκαν από τη βάση σύγκρισης</w:t>
                            </w:r>
                            <w:r w:rsidR="00A0264B" w:rsidRPr="009A20C8">
                              <w:rPr>
                                <w:rFonts w:ascii="Arial" w:hAnsi="Arial" w:cs="Arial"/>
                                <w:b/>
                                <w:color w:val="FFFFFF" w:themeColor="background1"/>
                                <w:sz w:val="21"/>
                                <w:szCs w:val="21"/>
                                <w:lang w:val="el-GR"/>
                              </w:rPr>
                              <w:t xml:space="preserve"> και την επιβράδυνση των εσόδων χαμηλού περιθωρίου κέρδους, οδηγώντας σε υψηλότερο ποσοστό κερδοφορίας</w:t>
                            </w:r>
                            <w:r w:rsidRPr="009A20C8">
                              <w:rPr>
                                <w:rFonts w:ascii="Arial" w:hAnsi="Arial" w:cs="Arial"/>
                                <w:b/>
                                <w:color w:val="FFFFFF" w:themeColor="background1"/>
                                <w:sz w:val="21"/>
                                <w:szCs w:val="21"/>
                                <w:lang w:val="el-GR"/>
                              </w:rPr>
                              <w:t xml:space="preserve">, ενώ οι λειτουργικές επιδόσεις διατηρούν τη δυναμική </w:t>
                            </w:r>
                            <w:r w:rsidR="00821B02" w:rsidRPr="009A20C8">
                              <w:rPr>
                                <w:rFonts w:ascii="Arial" w:hAnsi="Arial" w:cs="Arial"/>
                                <w:b/>
                                <w:color w:val="FFFFFF" w:themeColor="background1"/>
                                <w:sz w:val="21"/>
                                <w:szCs w:val="21"/>
                                <w:lang w:val="el-GR"/>
                              </w:rPr>
                              <w:t>τους</w:t>
                            </w:r>
                          </w:p>
                          <w:p w14:paraId="746C5073" w14:textId="2EC9C7D2"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Ισχυρά έσοδα από υπηρεσίες τηλεόρασης αυξημένα κατά 11%, </w:t>
                            </w:r>
                            <w:r w:rsidR="007C6D2C">
                              <w:rPr>
                                <w:rFonts w:ascii="Arial" w:hAnsi="Arial" w:cs="Arial"/>
                                <w:b/>
                                <w:color w:val="FFFFFF" w:themeColor="background1"/>
                                <w:sz w:val="21"/>
                                <w:szCs w:val="21"/>
                                <w:lang w:val="el-GR"/>
                              </w:rPr>
                              <w:t xml:space="preserve">τα </w:t>
                            </w:r>
                            <w:r w:rsidRPr="009A20C8">
                              <w:rPr>
                                <w:rFonts w:ascii="Arial" w:hAnsi="Arial" w:cs="Arial"/>
                                <w:b/>
                                <w:color w:val="FFFFFF" w:themeColor="background1"/>
                                <w:sz w:val="21"/>
                                <w:szCs w:val="21"/>
                                <w:lang w:val="el-GR"/>
                              </w:rPr>
                              <w:t xml:space="preserve">έσοδα από υπηρεσίες κινητής </w:t>
                            </w:r>
                            <w:r w:rsidR="00577CA8" w:rsidRPr="009A20C8">
                              <w:rPr>
                                <w:rFonts w:ascii="Arial" w:hAnsi="Arial" w:cs="Arial"/>
                                <w:b/>
                                <w:color w:val="FFFFFF" w:themeColor="background1"/>
                                <w:sz w:val="21"/>
                                <w:szCs w:val="21"/>
                                <w:lang w:val="el-GR"/>
                              </w:rPr>
                              <w:t xml:space="preserve">συνεχίζουν την </w:t>
                            </w:r>
                            <w:r w:rsidR="00504B53" w:rsidRPr="009A20C8">
                              <w:rPr>
                                <w:rFonts w:ascii="Arial" w:hAnsi="Arial" w:cs="Arial"/>
                                <w:b/>
                                <w:color w:val="FFFFFF" w:themeColor="background1"/>
                                <w:sz w:val="21"/>
                                <w:szCs w:val="21"/>
                                <w:lang w:val="el-GR"/>
                              </w:rPr>
                              <w:t>ανοδική τους τάση</w:t>
                            </w:r>
                            <w:r w:rsidR="00577CA8" w:rsidRPr="009A20C8">
                              <w:rPr>
                                <w:rFonts w:ascii="Arial" w:hAnsi="Arial" w:cs="Arial"/>
                                <w:b/>
                                <w:color w:val="FFFFFF" w:themeColor="background1"/>
                                <w:sz w:val="21"/>
                                <w:szCs w:val="21"/>
                                <w:lang w:val="el-GR"/>
                              </w:rPr>
                              <w:t xml:space="preserve"> </w:t>
                            </w:r>
                            <w:r w:rsidRPr="009A20C8">
                              <w:rPr>
                                <w:rFonts w:ascii="Arial" w:hAnsi="Arial" w:cs="Arial"/>
                                <w:b/>
                                <w:color w:val="FFFFFF" w:themeColor="background1"/>
                                <w:sz w:val="21"/>
                                <w:szCs w:val="21"/>
                                <w:lang w:val="el-GR"/>
                              </w:rPr>
                              <w:t>κατά 1,4%</w:t>
                            </w:r>
                          </w:p>
                          <w:p w14:paraId="7A5749E1" w14:textId="565D6CD5"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Οι συνδρομητές FTTH ανήλθαν σε 400χιλ. περίπου - αύξηση ρεκόρ στο τρίμηνο κατά 39χιλ. </w:t>
                            </w:r>
                          </w:p>
                          <w:p w14:paraId="01BA318E" w14:textId="7C676A9B"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Διαθεσιμότητα FTTH σε 1,7 εκατ. νοικοκυριά και επιχειρήσεις, με το ποσοστό διείσδυσης να ξεπερνά το 26%</w:t>
                            </w:r>
                          </w:p>
                          <w:p w14:paraId="5F0BCEF4" w14:textId="2126CB55" w:rsidR="000D677C" w:rsidRPr="009A20C8" w:rsidRDefault="000D677C" w:rsidP="009A20C8">
                            <w:pPr>
                              <w:pStyle w:val="ListParagraph"/>
                              <w:numPr>
                                <w:ilvl w:val="0"/>
                                <w:numId w:val="24"/>
                              </w:numPr>
                              <w:spacing w:line="280" w:lineRule="exact"/>
                              <w:ind w:left="502"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Στα €451 εκατ. η αμοιβή των μετόχων, που αντιστοιχεί στο 98% των αναμενόμενων ελεύθερων ταμειακών ροών</w:t>
                            </w:r>
                            <w:r w:rsidR="009E3457" w:rsidRPr="009A20C8">
                              <w:rPr>
                                <w:rFonts w:ascii="Arial" w:hAnsi="Arial" w:cs="Arial"/>
                                <w:b/>
                                <w:bCs/>
                                <w:color w:val="FFFFFF" w:themeColor="background1"/>
                                <w:sz w:val="21"/>
                                <w:szCs w:val="21"/>
                                <w:lang w:val="el-GR"/>
                              </w:rPr>
                              <w:t>, μη προσαρμοσμέν</w:t>
                            </w:r>
                            <w:r w:rsidR="007C59D5">
                              <w:rPr>
                                <w:rFonts w:ascii="Arial" w:hAnsi="Arial" w:cs="Arial"/>
                                <w:b/>
                                <w:bCs/>
                                <w:color w:val="FFFFFF" w:themeColor="background1"/>
                                <w:sz w:val="21"/>
                                <w:szCs w:val="21"/>
                                <w:lang w:val="el-GR"/>
                              </w:rPr>
                              <w:t>η</w:t>
                            </w:r>
                            <w:r w:rsidR="009E3457" w:rsidRPr="009A20C8">
                              <w:rPr>
                                <w:rFonts w:ascii="Arial" w:hAnsi="Arial" w:cs="Arial"/>
                                <w:b/>
                                <w:bCs/>
                                <w:color w:val="FFFFFF" w:themeColor="background1"/>
                                <w:sz w:val="21"/>
                                <w:szCs w:val="21"/>
                                <w:lang w:val="el-GR"/>
                              </w:rPr>
                              <w:t xml:space="preserve"> </w:t>
                            </w:r>
                            <w:r w:rsidR="00284899" w:rsidRPr="009A20C8">
                              <w:rPr>
                                <w:rFonts w:ascii="Arial" w:hAnsi="Arial" w:cs="Arial"/>
                                <w:b/>
                                <w:bCs/>
                                <w:color w:val="FFFFFF" w:themeColor="background1"/>
                                <w:sz w:val="21"/>
                                <w:szCs w:val="21"/>
                                <w:lang w:val="el-GR"/>
                              </w:rPr>
                              <w:t xml:space="preserve">από </w:t>
                            </w:r>
                            <w:r w:rsidR="009E3457" w:rsidRPr="009A20C8">
                              <w:rPr>
                                <w:rFonts w:ascii="Arial" w:hAnsi="Arial" w:cs="Arial"/>
                                <w:b/>
                                <w:bCs/>
                                <w:color w:val="FFFFFF" w:themeColor="background1"/>
                                <w:sz w:val="21"/>
                                <w:szCs w:val="21"/>
                                <w:lang w:val="el-GR"/>
                              </w:rPr>
                              <w:t>πώληση περιουσιακών στοιχείων</w:t>
                            </w:r>
                          </w:p>
                          <w:p w14:paraId="630F5396" w14:textId="7307BA81"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Προτεινόμενο μέρισμα €0,7216 ανά μετοχή, με το συνολικό ποσό στα €298 εκατ. </w:t>
                            </w:r>
                            <w:r w:rsidR="00D45075" w:rsidRPr="009A20C8">
                              <w:rPr>
                                <w:rFonts w:ascii="Arial" w:hAnsi="Arial" w:cs="Arial"/>
                                <w:b/>
                                <w:color w:val="FFFFFF" w:themeColor="background1"/>
                                <w:sz w:val="21"/>
                                <w:szCs w:val="21"/>
                                <w:lang w:val="el-GR"/>
                              </w:rPr>
                              <w:t xml:space="preserve"> </w:t>
                            </w:r>
                          </w:p>
                          <w:p w14:paraId="5E069661" w14:textId="77777777" w:rsidR="000D677C" w:rsidRPr="00AB313D"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Πρόγραμμα Απόκτησης Ιδίων Μετοχών ύψους €153 εκατ. </w:t>
                            </w:r>
                          </w:p>
                          <w:p w14:paraId="38BD1200" w14:textId="035CC445" w:rsidR="00AB313D" w:rsidRPr="009A20C8" w:rsidRDefault="00AA2031"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Θα προσαρμοστεί </w:t>
                            </w:r>
                            <w:r w:rsidR="00840282">
                              <w:rPr>
                                <w:rFonts w:ascii="Arial" w:hAnsi="Arial" w:cs="Arial"/>
                                <w:b/>
                                <w:color w:val="FFFFFF" w:themeColor="background1"/>
                                <w:sz w:val="21"/>
                                <w:szCs w:val="21"/>
                                <w:lang w:val="el-GR"/>
                              </w:rPr>
                              <w:t>σε περίπτωση</w:t>
                            </w:r>
                            <w:r>
                              <w:rPr>
                                <w:rFonts w:ascii="Arial" w:hAnsi="Arial" w:cs="Arial"/>
                                <w:b/>
                                <w:color w:val="FFFFFF" w:themeColor="background1"/>
                                <w:sz w:val="21"/>
                                <w:szCs w:val="21"/>
                                <w:lang w:val="el-GR"/>
                              </w:rPr>
                              <w:t xml:space="preserve"> πώληση</w:t>
                            </w:r>
                            <w:r w:rsidR="00840282">
                              <w:rPr>
                                <w:rFonts w:ascii="Arial" w:hAnsi="Arial" w:cs="Arial"/>
                                <w:b/>
                                <w:color w:val="FFFFFF" w:themeColor="background1"/>
                                <w:sz w:val="21"/>
                                <w:szCs w:val="21"/>
                                <w:lang w:val="el-GR"/>
                              </w:rPr>
                              <w:t>ς</w:t>
                            </w:r>
                            <w:r>
                              <w:rPr>
                                <w:rFonts w:ascii="Arial" w:hAnsi="Arial" w:cs="Arial"/>
                                <w:b/>
                                <w:color w:val="FFFFFF" w:themeColor="background1"/>
                                <w:sz w:val="21"/>
                                <w:szCs w:val="21"/>
                                <w:lang w:val="el-GR"/>
                              </w:rPr>
                              <w:t xml:space="preserve"> περιουσιακών στοιχείων (</w:t>
                            </w:r>
                            <w:r>
                              <w:rPr>
                                <w:rFonts w:ascii="Arial" w:hAnsi="Arial" w:cs="Arial"/>
                                <w:b/>
                                <w:color w:val="FFFFFF" w:themeColor="background1"/>
                                <w:sz w:val="21"/>
                                <w:szCs w:val="21"/>
                              </w:rPr>
                              <w:t>TKRM</w:t>
                            </w:r>
                            <w:r w:rsidRPr="007C6D2C">
                              <w:rPr>
                                <w:rFonts w:ascii="Arial" w:hAnsi="Arial" w:cs="Arial"/>
                                <w:b/>
                                <w:color w:val="FFFFFF" w:themeColor="background1"/>
                                <w:sz w:val="21"/>
                                <w:szCs w:val="21"/>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7625" id="Rectangle 21" o:spid="_x0000_s1026" style="position:absolute;left:0;text-align:left;margin-left:-3.2pt;margin-top:16.35pt;width:597.95pt;height:203.2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" fillcolor="#00a5e3" stroked="f" strokeweight="1pt">
                <v:textbox>
                  <w:txbxContent>
                    <w:p w14:paraId="2FABF3B0" w14:textId="0DCD60A0" w:rsidR="000D677C" w:rsidRPr="009A20C8" w:rsidRDefault="000D677C" w:rsidP="009A20C8">
                      <w:pPr>
                        <w:pStyle w:val="ListParagraph"/>
                        <w:numPr>
                          <w:ilvl w:val="0"/>
                          <w:numId w:val="8"/>
                        </w:numPr>
                        <w:spacing w:line="280" w:lineRule="exact"/>
                        <w:ind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Επιτάχυνση του ρυθμού ανάπτυξης του Προσαρμοσμένου EBITDA (AL) στην Ελλάδα – στο +1,8%</w:t>
                      </w:r>
                      <w:r w:rsidR="00F96876" w:rsidRPr="009A20C8">
                        <w:rPr>
                          <w:rFonts w:ascii="Arial" w:hAnsi="Arial" w:cs="Arial"/>
                          <w:b/>
                          <w:bCs/>
                          <w:color w:val="FFFFFF" w:themeColor="background1"/>
                          <w:sz w:val="21"/>
                          <w:szCs w:val="21"/>
                          <w:lang w:val="el-GR"/>
                        </w:rPr>
                        <w:t xml:space="preserve"> το Δ’</w:t>
                      </w:r>
                      <w:r w:rsidR="00902B2E" w:rsidRPr="009A20C8">
                        <w:rPr>
                          <w:rFonts w:ascii="Arial" w:hAnsi="Arial" w:cs="Arial"/>
                          <w:b/>
                          <w:bCs/>
                          <w:color w:val="FFFFFF" w:themeColor="background1"/>
                          <w:sz w:val="21"/>
                          <w:szCs w:val="21"/>
                          <w:lang w:val="el-GR"/>
                        </w:rPr>
                        <w:t xml:space="preserve"> Τ</w:t>
                      </w:r>
                      <w:r w:rsidR="00F96876" w:rsidRPr="009A20C8">
                        <w:rPr>
                          <w:rFonts w:ascii="Arial" w:hAnsi="Arial" w:cs="Arial"/>
                          <w:b/>
                          <w:bCs/>
                          <w:color w:val="FFFFFF" w:themeColor="background1"/>
                          <w:sz w:val="21"/>
                          <w:szCs w:val="21"/>
                          <w:lang w:val="el-GR"/>
                        </w:rPr>
                        <w:t>ρίμηνο</w:t>
                      </w:r>
                    </w:p>
                    <w:p w14:paraId="72B06700" w14:textId="2A421FAD"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Τα έσοδα επηρεάστηκαν από τη βάση σύγκρισης</w:t>
                      </w:r>
                      <w:r w:rsidR="00A0264B" w:rsidRPr="009A20C8">
                        <w:rPr>
                          <w:rFonts w:ascii="Arial" w:hAnsi="Arial" w:cs="Arial"/>
                          <w:b/>
                          <w:color w:val="FFFFFF" w:themeColor="background1"/>
                          <w:sz w:val="21"/>
                          <w:szCs w:val="21"/>
                          <w:lang w:val="el-GR"/>
                        </w:rPr>
                        <w:t xml:space="preserve"> και την επιβράδυνση των εσόδων χαμηλού περιθωρίου κέρδους, οδηγώντας σε υψηλότερο ποσοστό κερδοφορίας</w:t>
                      </w:r>
                      <w:r w:rsidRPr="009A20C8">
                        <w:rPr>
                          <w:rFonts w:ascii="Arial" w:hAnsi="Arial" w:cs="Arial"/>
                          <w:b/>
                          <w:color w:val="FFFFFF" w:themeColor="background1"/>
                          <w:sz w:val="21"/>
                          <w:szCs w:val="21"/>
                          <w:lang w:val="el-GR"/>
                        </w:rPr>
                        <w:t xml:space="preserve">, ενώ οι λειτουργικές επιδόσεις διατηρούν τη δυναμική </w:t>
                      </w:r>
                      <w:r w:rsidR="00821B02" w:rsidRPr="009A20C8">
                        <w:rPr>
                          <w:rFonts w:ascii="Arial" w:hAnsi="Arial" w:cs="Arial"/>
                          <w:b/>
                          <w:color w:val="FFFFFF" w:themeColor="background1"/>
                          <w:sz w:val="21"/>
                          <w:szCs w:val="21"/>
                          <w:lang w:val="el-GR"/>
                        </w:rPr>
                        <w:t>τους</w:t>
                      </w:r>
                    </w:p>
                    <w:p w14:paraId="746C5073" w14:textId="2EC9C7D2"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Ισχυρά έσοδα από υπηρεσίες τηλεόρασης αυξημένα κατά 11%, </w:t>
                      </w:r>
                      <w:r w:rsidR="007C6D2C">
                        <w:rPr>
                          <w:rFonts w:ascii="Arial" w:hAnsi="Arial" w:cs="Arial"/>
                          <w:b/>
                          <w:color w:val="FFFFFF" w:themeColor="background1"/>
                          <w:sz w:val="21"/>
                          <w:szCs w:val="21"/>
                          <w:lang w:val="el-GR"/>
                        </w:rPr>
                        <w:t xml:space="preserve">τα </w:t>
                      </w:r>
                      <w:r w:rsidRPr="009A20C8">
                        <w:rPr>
                          <w:rFonts w:ascii="Arial" w:hAnsi="Arial" w:cs="Arial"/>
                          <w:b/>
                          <w:color w:val="FFFFFF" w:themeColor="background1"/>
                          <w:sz w:val="21"/>
                          <w:szCs w:val="21"/>
                          <w:lang w:val="el-GR"/>
                        </w:rPr>
                        <w:t xml:space="preserve">έσοδα από υπηρεσίες κινητής </w:t>
                      </w:r>
                      <w:r w:rsidR="00577CA8" w:rsidRPr="009A20C8">
                        <w:rPr>
                          <w:rFonts w:ascii="Arial" w:hAnsi="Arial" w:cs="Arial"/>
                          <w:b/>
                          <w:color w:val="FFFFFF" w:themeColor="background1"/>
                          <w:sz w:val="21"/>
                          <w:szCs w:val="21"/>
                          <w:lang w:val="el-GR"/>
                        </w:rPr>
                        <w:t xml:space="preserve">συνεχίζουν την </w:t>
                      </w:r>
                      <w:r w:rsidR="00504B53" w:rsidRPr="009A20C8">
                        <w:rPr>
                          <w:rFonts w:ascii="Arial" w:hAnsi="Arial" w:cs="Arial"/>
                          <w:b/>
                          <w:color w:val="FFFFFF" w:themeColor="background1"/>
                          <w:sz w:val="21"/>
                          <w:szCs w:val="21"/>
                          <w:lang w:val="el-GR"/>
                        </w:rPr>
                        <w:t>ανοδική τους τάση</w:t>
                      </w:r>
                      <w:r w:rsidR="00577CA8" w:rsidRPr="009A20C8">
                        <w:rPr>
                          <w:rFonts w:ascii="Arial" w:hAnsi="Arial" w:cs="Arial"/>
                          <w:b/>
                          <w:color w:val="FFFFFF" w:themeColor="background1"/>
                          <w:sz w:val="21"/>
                          <w:szCs w:val="21"/>
                          <w:lang w:val="el-GR"/>
                        </w:rPr>
                        <w:t xml:space="preserve"> </w:t>
                      </w:r>
                      <w:r w:rsidRPr="009A20C8">
                        <w:rPr>
                          <w:rFonts w:ascii="Arial" w:hAnsi="Arial" w:cs="Arial"/>
                          <w:b/>
                          <w:color w:val="FFFFFF" w:themeColor="background1"/>
                          <w:sz w:val="21"/>
                          <w:szCs w:val="21"/>
                          <w:lang w:val="el-GR"/>
                        </w:rPr>
                        <w:t>κατά 1,4%</w:t>
                      </w:r>
                    </w:p>
                    <w:p w14:paraId="7A5749E1" w14:textId="565D6CD5"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Οι συνδρομητές FTTH ανήλθαν σε 400χιλ. περίπου - αύξηση ρεκόρ στο τρίμηνο κατά 39χιλ. </w:t>
                      </w:r>
                    </w:p>
                    <w:p w14:paraId="01BA318E" w14:textId="7C676A9B"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Διαθεσιμότητα FTTH σε 1,7 εκατ. νοικοκυριά και επιχειρήσεις, με το ποσοστό διείσδυσης να ξεπερνά το 26%</w:t>
                      </w:r>
                    </w:p>
                    <w:p w14:paraId="5F0BCEF4" w14:textId="2126CB55" w:rsidR="000D677C" w:rsidRPr="009A20C8" w:rsidRDefault="000D677C" w:rsidP="009A20C8">
                      <w:pPr>
                        <w:pStyle w:val="ListParagraph"/>
                        <w:numPr>
                          <w:ilvl w:val="0"/>
                          <w:numId w:val="24"/>
                        </w:numPr>
                        <w:spacing w:line="280" w:lineRule="exact"/>
                        <w:ind w:left="502"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Στα €451 εκατ. η αμοιβή των μετόχων, που αντιστοιχεί στο 98% των αναμενόμενων ελεύθερων ταμειακών ροών</w:t>
                      </w:r>
                      <w:r w:rsidR="009E3457" w:rsidRPr="009A20C8">
                        <w:rPr>
                          <w:rFonts w:ascii="Arial" w:hAnsi="Arial" w:cs="Arial"/>
                          <w:b/>
                          <w:bCs/>
                          <w:color w:val="FFFFFF" w:themeColor="background1"/>
                          <w:sz w:val="21"/>
                          <w:szCs w:val="21"/>
                          <w:lang w:val="el-GR"/>
                        </w:rPr>
                        <w:t>, μη προσαρμοσμέν</w:t>
                      </w:r>
                      <w:r w:rsidR="007C59D5">
                        <w:rPr>
                          <w:rFonts w:ascii="Arial" w:hAnsi="Arial" w:cs="Arial"/>
                          <w:b/>
                          <w:bCs/>
                          <w:color w:val="FFFFFF" w:themeColor="background1"/>
                          <w:sz w:val="21"/>
                          <w:szCs w:val="21"/>
                          <w:lang w:val="el-GR"/>
                        </w:rPr>
                        <w:t>η</w:t>
                      </w:r>
                      <w:r w:rsidR="009E3457" w:rsidRPr="009A20C8">
                        <w:rPr>
                          <w:rFonts w:ascii="Arial" w:hAnsi="Arial" w:cs="Arial"/>
                          <w:b/>
                          <w:bCs/>
                          <w:color w:val="FFFFFF" w:themeColor="background1"/>
                          <w:sz w:val="21"/>
                          <w:szCs w:val="21"/>
                          <w:lang w:val="el-GR"/>
                        </w:rPr>
                        <w:t xml:space="preserve"> </w:t>
                      </w:r>
                      <w:r w:rsidR="00284899" w:rsidRPr="009A20C8">
                        <w:rPr>
                          <w:rFonts w:ascii="Arial" w:hAnsi="Arial" w:cs="Arial"/>
                          <w:b/>
                          <w:bCs/>
                          <w:color w:val="FFFFFF" w:themeColor="background1"/>
                          <w:sz w:val="21"/>
                          <w:szCs w:val="21"/>
                          <w:lang w:val="el-GR"/>
                        </w:rPr>
                        <w:t xml:space="preserve">από </w:t>
                      </w:r>
                      <w:r w:rsidR="009E3457" w:rsidRPr="009A20C8">
                        <w:rPr>
                          <w:rFonts w:ascii="Arial" w:hAnsi="Arial" w:cs="Arial"/>
                          <w:b/>
                          <w:bCs/>
                          <w:color w:val="FFFFFF" w:themeColor="background1"/>
                          <w:sz w:val="21"/>
                          <w:szCs w:val="21"/>
                          <w:lang w:val="el-GR"/>
                        </w:rPr>
                        <w:t>πώληση περιουσιακών στοιχείων</w:t>
                      </w:r>
                    </w:p>
                    <w:p w14:paraId="630F5396" w14:textId="7307BA81"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Προτεινόμενο μέρισμα €0,7216 ανά μετοχή, με το συνολικό ποσό στα €298 εκατ. </w:t>
                      </w:r>
                      <w:r w:rsidR="00D45075" w:rsidRPr="009A20C8">
                        <w:rPr>
                          <w:rFonts w:ascii="Arial" w:hAnsi="Arial" w:cs="Arial"/>
                          <w:b/>
                          <w:color w:val="FFFFFF" w:themeColor="background1"/>
                          <w:sz w:val="21"/>
                          <w:szCs w:val="21"/>
                          <w:lang w:val="el-GR"/>
                        </w:rPr>
                        <w:t xml:space="preserve"> </w:t>
                      </w:r>
                    </w:p>
                    <w:p w14:paraId="5E069661" w14:textId="77777777" w:rsidR="000D677C" w:rsidRPr="00AB313D"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Πρόγραμμα Απόκτησης Ιδίων Μετοχών ύψους €153 εκατ. </w:t>
                      </w:r>
                    </w:p>
                    <w:p w14:paraId="38BD1200" w14:textId="035CC445" w:rsidR="00AB313D" w:rsidRPr="009A20C8" w:rsidRDefault="00AA2031"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Θα προσαρμοστεί </w:t>
                      </w:r>
                      <w:r w:rsidR="00840282">
                        <w:rPr>
                          <w:rFonts w:ascii="Arial" w:hAnsi="Arial" w:cs="Arial"/>
                          <w:b/>
                          <w:color w:val="FFFFFF" w:themeColor="background1"/>
                          <w:sz w:val="21"/>
                          <w:szCs w:val="21"/>
                          <w:lang w:val="el-GR"/>
                        </w:rPr>
                        <w:t>σε περίπτωση</w:t>
                      </w:r>
                      <w:r>
                        <w:rPr>
                          <w:rFonts w:ascii="Arial" w:hAnsi="Arial" w:cs="Arial"/>
                          <w:b/>
                          <w:color w:val="FFFFFF" w:themeColor="background1"/>
                          <w:sz w:val="21"/>
                          <w:szCs w:val="21"/>
                          <w:lang w:val="el-GR"/>
                        </w:rPr>
                        <w:t xml:space="preserve"> πώληση</w:t>
                      </w:r>
                      <w:r w:rsidR="00840282">
                        <w:rPr>
                          <w:rFonts w:ascii="Arial" w:hAnsi="Arial" w:cs="Arial"/>
                          <w:b/>
                          <w:color w:val="FFFFFF" w:themeColor="background1"/>
                          <w:sz w:val="21"/>
                          <w:szCs w:val="21"/>
                          <w:lang w:val="el-GR"/>
                        </w:rPr>
                        <w:t>ς</w:t>
                      </w:r>
                      <w:r>
                        <w:rPr>
                          <w:rFonts w:ascii="Arial" w:hAnsi="Arial" w:cs="Arial"/>
                          <w:b/>
                          <w:color w:val="FFFFFF" w:themeColor="background1"/>
                          <w:sz w:val="21"/>
                          <w:szCs w:val="21"/>
                          <w:lang w:val="el-GR"/>
                        </w:rPr>
                        <w:t xml:space="preserve"> περιουσιακών στοιχείων (</w:t>
                      </w:r>
                      <w:r>
                        <w:rPr>
                          <w:rFonts w:ascii="Arial" w:hAnsi="Arial" w:cs="Arial"/>
                          <w:b/>
                          <w:color w:val="FFFFFF" w:themeColor="background1"/>
                          <w:sz w:val="21"/>
                          <w:szCs w:val="21"/>
                        </w:rPr>
                        <w:t>TKRM</w:t>
                      </w:r>
                      <w:r w:rsidRPr="007C6D2C">
                        <w:rPr>
                          <w:rFonts w:ascii="Arial" w:hAnsi="Arial" w:cs="Arial"/>
                          <w:b/>
                          <w:color w:val="FFFFFF" w:themeColor="background1"/>
                          <w:sz w:val="21"/>
                          <w:szCs w:val="21"/>
                          <w:lang w:val="el-GR"/>
                        </w:rPr>
                        <w:t>)</w:t>
                      </w:r>
                    </w:p>
                  </w:txbxContent>
                </v:textbox>
                <w10:wrap anchorx="page"/>
              </v:rect>
            </w:pict>
          </mc:Fallback>
        </mc:AlternateContent>
      </w:r>
      <w:r w:rsidR="006E2EDC" w:rsidRPr="008D47BE">
        <w:rPr>
          <w:rFonts w:ascii="Arial" w:hAnsi="Arial" w:cs="Arial"/>
          <w:b/>
          <w:bCs/>
          <w:color w:val="000000" w:themeColor="text1"/>
        </w:rPr>
        <w:t xml:space="preserve">Σύνοψη </w:t>
      </w:r>
    </w:p>
    <w:p w14:paraId="3B7B37A0" w14:textId="6EE9D454" w:rsidR="006E2EDC" w:rsidRPr="00B80799" w:rsidRDefault="006E2EDC" w:rsidP="006E2EDC"/>
    <w:p w14:paraId="0111C6CD" w14:textId="77777777" w:rsidR="006E2EDC" w:rsidRPr="0026502A" w:rsidRDefault="006E2EDC" w:rsidP="006E2EDC">
      <w:pPr>
        <w:pStyle w:val="Heading1"/>
        <w:ind w:left="0" w:firstLine="90"/>
        <w:rPr>
          <w:bCs w:val="0"/>
          <w:smallCaps w:val="0"/>
          <w:sz w:val="22"/>
          <w:szCs w:val="22"/>
          <w:u w:val="none"/>
          <w:lang w:val="el-GR" w:eastAsia="en-US"/>
        </w:rPr>
      </w:pPr>
    </w:p>
    <w:p w14:paraId="22045980" w14:textId="77777777" w:rsidR="006E2EDC" w:rsidRPr="0026502A" w:rsidRDefault="006E2EDC" w:rsidP="006E2EDC">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1BEA51BB" w14:textId="77777777" w:rsidR="006E2EDC" w:rsidRPr="0026502A" w:rsidRDefault="006E2EDC" w:rsidP="006E2EDC">
      <w:pPr>
        <w:rPr>
          <w:rFonts w:ascii="Arial" w:hAnsi="Arial" w:cs="Arial"/>
          <w:b/>
        </w:rPr>
      </w:pPr>
    </w:p>
    <w:p w14:paraId="074E23D4" w14:textId="77777777" w:rsidR="006E2EDC" w:rsidRPr="0026502A" w:rsidRDefault="006E2EDC" w:rsidP="006E2EDC">
      <w:pPr>
        <w:rPr>
          <w:rFonts w:ascii="Arial" w:hAnsi="Arial" w:cs="Arial"/>
          <w:b/>
        </w:rPr>
      </w:pPr>
    </w:p>
    <w:p w14:paraId="5BC13047" w14:textId="77777777" w:rsidR="006E2EDC" w:rsidRPr="0026502A" w:rsidRDefault="006E2EDC" w:rsidP="006E2EDC">
      <w:pPr>
        <w:rPr>
          <w:rFonts w:ascii="Arial" w:hAnsi="Arial" w:cs="Arial"/>
          <w:b/>
        </w:rPr>
      </w:pPr>
    </w:p>
    <w:p w14:paraId="7D8A531F" w14:textId="77777777" w:rsidR="006E2EDC" w:rsidRPr="0026502A" w:rsidRDefault="006E2EDC" w:rsidP="006E2EDC">
      <w:pPr>
        <w:rPr>
          <w:rFonts w:ascii="Arial" w:hAnsi="Arial" w:cs="Arial"/>
          <w:b/>
        </w:rPr>
      </w:pPr>
    </w:p>
    <w:p w14:paraId="3EA3D0F6" w14:textId="77777777" w:rsidR="006E2EDC" w:rsidRPr="0026502A" w:rsidRDefault="006E2EDC" w:rsidP="006E2EDC">
      <w:pPr>
        <w:rPr>
          <w:rFonts w:ascii="Arial" w:hAnsi="Arial" w:cs="Arial"/>
          <w:b/>
        </w:rPr>
      </w:pPr>
    </w:p>
    <w:p w14:paraId="2D943B38"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2AB0A29F"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555B67FB"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2EB0E732"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53A228ED"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55EA779C" w14:textId="2D4DA77F" w:rsidR="003629D3" w:rsidRPr="001870B4" w:rsidRDefault="003629D3" w:rsidP="00B8173B">
      <w:pPr>
        <w:tabs>
          <w:tab w:val="left" w:pos="1653"/>
        </w:tabs>
        <w:rPr>
          <w:rFonts w:ascii="Arial" w:hAnsi="Arial" w:cs="Arial"/>
          <w:b/>
        </w:rPr>
      </w:pPr>
    </w:p>
    <w:tbl>
      <w:tblPr>
        <w:tblStyle w:val="TableGrid"/>
        <w:tblW w:w="1060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568"/>
        <w:gridCol w:w="1171"/>
        <w:gridCol w:w="1171"/>
        <w:gridCol w:w="1174"/>
        <w:gridCol w:w="1174"/>
        <w:gridCol w:w="1174"/>
        <w:gridCol w:w="1174"/>
      </w:tblGrid>
      <w:tr w:rsidR="003629D3" w:rsidRPr="00A11680" w14:paraId="4BDBF3A0" w14:textId="77777777" w:rsidTr="00744EE5">
        <w:trPr>
          <w:trHeight w:val="448"/>
        </w:trPr>
        <w:tc>
          <w:tcPr>
            <w:tcW w:w="356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82B6D3" w14:textId="3C2E2F99" w:rsidR="003629D3" w:rsidRPr="00A11680" w:rsidRDefault="003629D3" w:rsidP="00744EE5">
            <w:pPr>
              <w:pStyle w:val="ColorfulList-Accent11"/>
              <w:tabs>
                <w:tab w:val="left" w:pos="0"/>
                <w:tab w:val="left" w:pos="284"/>
              </w:tabs>
              <w:ind w:left="0" w:right="-90"/>
              <w:rPr>
                <w:rFonts w:ascii="Arial" w:hAnsi="Arial" w:cs="Arial"/>
                <w:i/>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17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DAC9332" w14:textId="77777777" w:rsidR="003629D3" w:rsidRPr="00A11680" w:rsidRDefault="003629D3" w:rsidP="00744EE5">
            <w:pPr>
              <w:pStyle w:val="ColorfulList-Accent11"/>
              <w:tabs>
                <w:tab w:val="left" w:pos="0"/>
                <w:tab w:val="left" w:pos="284"/>
              </w:tabs>
              <w:ind w:left="0" w:right="-90"/>
              <w:jc w:val="center"/>
              <w:rPr>
                <w:rFonts w:ascii="Arial" w:hAnsi="Arial" w:cs="Arial"/>
                <w:i/>
              </w:rPr>
            </w:pPr>
            <w:r w:rsidRPr="00A11680">
              <w:rPr>
                <w:rFonts w:ascii="Arial" w:hAnsi="Arial" w:cs="Arial"/>
                <w:b/>
              </w:rPr>
              <w:t>Q</w:t>
            </w:r>
            <w:r>
              <w:rPr>
                <w:rFonts w:ascii="Arial" w:hAnsi="Arial" w:cs="Arial"/>
                <w:b/>
              </w:rPr>
              <w:t>4</w:t>
            </w:r>
            <w:r w:rsidRPr="00A11680">
              <w:rPr>
                <w:rFonts w:ascii="Arial" w:hAnsi="Arial" w:cs="Arial"/>
                <w:b/>
              </w:rPr>
              <w:t>'24</w:t>
            </w:r>
          </w:p>
        </w:tc>
        <w:tc>
          <w:tcPr>
            <w:tcW w:w="1171" w:type="dxa"/>
            <w:tcBorders>
              <w:top w:val="single" w:sz="2" w:space="0" w:color="808080" w:themeColor="background1" w:themeShade="80"/>
              <w:left w:val="nil"/>
              <w:bottom w:val="single" w:sz="2" w:space="0" w:color="808080" w:themeColor="background1" w:themeShade="80"/>
              <w:right w:val="nil"/>
            </w:tcBorders>
            <w:vAlign w:val="center"/>
          </w:tcPr>
          <w:p w14:paraId="5097B723" w14:textId="77777777" w:rsidR="003629D3" w:rsidRPr="00A11680" w:rsidRDefault="003629D3" w:rsidP="00744EE5">
            <w:pPr>
              <w:pStyle w:val="ColorfulList-Accent11"/>
              <w:tabs>
                <w:tab w:val="left" w:pos="0"/>
                <w:tab w:val="left" w:pos="284"/>
              </w:tabs>
              <w:ind w:left="0" w:right="-90"/>
              <w:jc w:val="center"/>
              <w:rPr>
                <w:rFonts w:ascii="Arial" w:hAnsi="Arial" w:cs="Arial"/>
                <w:i/>
              </w:rPr>
            </w:pPr>
            <w:r w:rsidRPr="00A11680">
              <w:rPr>
                <w:rFonts w:ascii="Arial" w:hAnsi="Arial" w:cs="Arial"/>
                <w:b/>
              </w:rPr>
              <w:t>Q</w:t>
            </w:r>
            <w:r>
              <w:rPr>
                <w:rFonts w:ascii="Arial" w:hAnsi="Arial" w:cs="Arial"/>
                <w:b/>
              </w:rPr>
              <w:t>4</w:t>
            </w:r>
            <w:r w:rsidRPr="00A11680">
              <w:rPr>
                <w:rFonts w:ascii="Arial" w:hAnsi="Arial" w:cs="Arial"/>
                <w:b/>
              </w:rPr>
              <w:t>'23</w:t>
            </w:r>
          </w:p>
        </w:tc>
        <w:tc>
          <w:tcPr>
            <w:tcW w:w="117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759889D" w14:textId="77777777" w:rsidR="003629D3" w:rsidRPr="00A11680" w:rsidRDefault="003629D3" w:rsidP="00744EE5">
            <w:pPr>
              <w:pStyle w:val="ColorfulList-Accent11"/>
              <w:tabs>
                <w:tab w:val="left" w:pos="0"/>
                <w:tab w:val="left" w:pos="284"/>
              </w:tabs>
              <w:ind w:left="0" w:right="-90"/>
              <w:jc w:val="center"/>
              <w:rPr>
                <w:rFonts w:ascii="Arial" w:hAnsi="Arial" w:cs="Arial"/>
                <w:i/>
              </w:rPr>
            </w:pPr>
            <w:r w:rsidRPr="00A11680">
              <w:rPr>
                <w:rFonts w:ascii="Arial" w:hAnsi="Arial" w:cs="Arial"/>
                <w:b/>
              </w:rPr>
              <w:t>y-o-y</w:t>
            </w:r>
          </w:p>
        </w:tc>
        <w:tc>
          <w:tcPr>
            <w:tcW w:w="117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0DAD323" w14:textId="77777777" w:rsidR="003629D3" w:rsidRPr="00A11680" w:rsidRDefault="003629D3" w:rsidP="00744EE5">
            <w:pPr>
              <w:pStyle w:val="ColorfulList-Accent11"/>
              <w:tabs>
                <w:tab w:val="left" w:pos="0"/>
                <w:tab w:val="left" w:pos="284"/>
              </w:tabs>
              <w:ind w:left="0" w:right="-90"/>
              <w:jc w:val="center"/>
              <w:rPr>
                <w:rFonts w:ascii="Arial" w:hAnsi="Arial" w:cs="Arial"/>
                <w:b/>
              </w:rPr>
            </w:pPr>
            <w:r>
              <w:rPr>
                <w:rFonts w:ascii="Arial" w:hAnsi="Arial" w:cs="Arial"/>
                <w:b/>
              </w:rPr>
              <w:t>12</w:t>
            </w:r>
            <w:r w:rsidRPr="00A11680">
              <w:rPr>
                <w:rFonts w:ascii="Arial" w:hAnsi="Arial" w:cs="Arial"/>
                <w:b/>
              </w:rPr>
              <w:t>M'24</w:t>
            </w:r>
          </w:p>
        </w:tc>
        <w:tc>
          <w:tcPr>
            <w:tcW w:w="1174" w:type="dxa"/>
            <w:tcBorders>
              <w:top w:val="single" w:sz="2" w:space="0" w:color="808080" w:themeColor="background1" w:themeShade="80"/>
              <w:left w:val="nil"/>
              <w:bottom w:val="single" w:sz="2" w:space="0" w:color="808080" w:themeColor="background1" w:themeShade="80"/>
              <w:right w:val="nil"/>
            </w:tcBorders>
            <w:vAlign w:val="center"/>
          </w:tcPr>
          <w:p w14:paraId="15E2D955" w14:textId="77777777" w:rsidR="003629D3" w:rsidRPr="00A11680" w:rsidRDefault="003629D3" w:rsidP="00744EE5">
            <w:pPr>
              <w:pStyle w:val="ColorfulList-Accent11"/>
              <w:tabs>
                <w:tab w:val="left" w:pos="0"/>
                <w:tab w:val="left" w:pos="284"/>
              </w:tabs>
              <w:ind w:left="0" w:right="-90"/>
              <w:jc w:val="center"/>
              <w:rPr>
                <w:rFonts w:ascii="Arial" w:hAnsi="Arial" w:cs="Arial"/>
                <w:b/>
              </w:rPr>
            </w:pPr>
            <w:r>
              <w:rPr>
                <w:rFonts w:ascii="Arial" w:hAnsi="Arial" w:cs="Arial"/>
                <w:b/>
              </w:rPr>
              <w:t>12</w:t>
            </w:r>
            <w:r w:rsidRPr="00A11680">
              <w:rPr>
                <w:rFonts w:ascii="Arial" w:hAnsi="Arial" w:cs="Arial"/>
                <w:b/>
              </w:rPr>
              <w:t>M'23</w:t>
            </w:r>
          </w:p>
        </w:tc>
        <w:tc>
          <w:tcPr>
            <w:tcW w:w="1174" w:type="dxa"/>
            <w:tcBorders>
              <w:top w:val="single" w:sz="2" w:space="0" w:color="808080" w:themeColor="background1" w:themeShade="80"/>
              <w:left w:val="nil"/>
              <w:bottom w:val="single" w:sz="2" w:space="0" w:color="808080" w:themeColor="background1" w:themeShade="80"/>
              <w:right w:val="nil"/>
            </w:tcBorders>
            <w:vAlign w:val="center"/>
          </w:tcPr>
          <w:p w14:paraId="3AB84FD8" w14:textId="77777777" w:rsidR="003629D3" w:rsidRPr="00A11680" w:rsidRDefault="003629D3" w:rsidP="00744EE5">
            <w:pPr>
              <w:pStyle w:val="ColorfulList-Accent11"/>
              <w:tabs>
                <w:tab w:val="left" w:pos="0"/>
                <w:tab w:val="left" w:pos="284"/>
              </w:tabs>
              <w:ind w:left="0" w:right="-90"/>
              <w:jc w:val="center"/>
              <w:rPr>
                <w:rFonts w:ascii="Arial" w:hAnsi="Arial" w:cs="Arial"/>
                <w:b/>
              </w:rPr>
            </w:pPr>
            <w:r w:rsidRPr="00A11680">
              <w:rPr>
                <w:rFonts w:ascii="Arial" w:hAnsi="Arial" w:cs="Arial"/>
                <w:b/>
              </w:rPr>
              <w:t>y-o-y</w:t>
            </w:r>
          </w:p>
        </w:tc>
      </w:tr>
      <w:tr w:rsidR="00D310AA" w:rsidRPr="00A11680" w14:paraId="21A30CAB" w14:textId="77777777" w:rsidTr="00567B09">
        <w:trPr>
          <w:trHeight w:val="281"/>
        </w:trPr>
        <w:tc>
          <w:tcPr>
            <w:tcW w:w="3568"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501E1904" w14:textId="200C0398" w:rsidR="00D310AA" w:rsidRPr="003629D3" w:rsidRDefault="00D310AA" w:rsidP="00D310AA">
            <w:pPr>
              <w:pStyle w:val="ColorfulList-Accent11"/>
              <w:tabs>
                <w:tab w:val="left" w:pos="0"/>
                <w:tab w:val="left" w:pos="284"/>
              </w:tabs>
              <w:ind w:left="0" w:right="-90"/>
              <w:rPr>
                <w:rFonts w:ascii="Arial" w:hAnsi="Arial" w:cs="Arial"/>
                <w:i/>
              </w:rPr>
            </w:pPr>
            <w:r w:rsidRPr="003629D3">
              <w:rPr>
                <w:rFonts w:ascii="Arial" w:hAnsi="Arial" w:cs="Arial"/>
              </w:rPr>
              <w:t>Κύκλος Εργασιών</w:t>
            </w:r>
          </w:p>
        </w:tc>
        <w:tc>
          <w:tcPr>
            <w:tcW w:w="117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DB28AC4" w14:textId="70F0B464"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905</w:t>
            </w:r>
            <w:r w:rsidR="00F547CC">
              <w:rPr>
                <w:rFonts w:ascii="Arial" w:hAnsi="Arial" w:cs="Arial"/>
                <w:color w:val="000000"/>
              </w:rPr>
              <w:t>,</w:t>
            </w:r>
            <w:r w:rsidRPr="000067B8">
              <w:rPr>
                <w:rFonts w:ascii="Arial" w:hAnsi="Arial" w:cs="Arial"/>
                <w:color w:val="000000"/>
              </w:rPr>
              <w:t>3</w:t>
            </w:r>
          </w:p>
        </w:tc>
        <w:tc>
          <w:tcPr>
            <w:tcW w:w="1171" w:type="dxa"/>
            <w:tcBorders>
              <w:top w:val="single" w:sz="2" w:space="0" w:color="808080" w:themeColor="background1" w:themeShade="80"/>
              <w:left w:val="nil"/>
              <w:bottom w:val="nil"/>
              <w:right w:val="nil"/>
            </w:tcBorders>
            <w:shd w:val="clear" w:color="auto" w:fill="FFFFFF" w:themeFill="background1"/>
            <w:vAlign w:val="center"/>
          </w:tcPr>
          <w:p w14:paraId="358252A7" w14:textId="47AF4915"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930</w:t>
            </w:r>
            <w:r w:rsidR="00F547CC">
              <w:rPr>
                <w:rFonts w:ascii="Arial" w:hAnsi="Arial" w:cs="Arial"/>
                <w:color w:val="000000"/>
              </w:rPr>
              <w:t>,</w:t>
            </w:r>
            <w:r w:rsidRPr="000067B8">
              <w:rPr>
                <w:rFonts w:ascii="Arial" w:hAnsi="Arial" w:cs="Arial"/>
                <w:color w:val="000000"/>
              </w:rPr>
              <w:t>2</w:t>
            </w:r>
          </w:p>
        </w:tc>
        <w:tc>
          <w:tcPr>
            <w:tcW w:w="1174"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63A99527" w14:textId="7B363FC4"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-2</w:t>
            </w:r>
            <w:r w:rsidR="00F547CC">
              <w:rPr>
                <w:rFonts w:ascii="Arial" w:hAnsi="Arial" w:cs="Arial"/>
                <w:color w:val="000000"/>
              </w:rPr>
              <w:t>,</w:t>
            </w:r>
            <w:r w:rsidRPr="000067B8">
              <w:rPr>
                <w:rFonts w:ascii="Arial" w:hAnsi="Arial" w:cs="Arial"/>
                <w:color w:val="000000"/>
              </w:rPr>
              <w:t>7%</w:t>
            </w:r>
          </w:p>
        </w:tc>
        <w:tc>
          <w:tcPr>
            <w:tcW w:w="1174"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7BCBD3C1" w14:textId="0FA9B677"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590</w:t>
            </w:r>
            <w:r w:rsidR="00F547CC">
              <w:rPr>
                <w:rFonts w:ascii="Arial" w:hAnsi="Arial" w:cs="Arial"/>
                <w:color w:val="000000"/>
              </w:rPr>
              <w:t>,</w:t>
            </w:r>
            <w:r w:rsidRPr="000067B8">
              <w:rPr>
                <w:rFonts w:ascii="Arial" w:hAnsi="Arial" w:cs="Arial"/>
                <w:color w:val="000000"/>
              </w:rPr>
              <w:t>8</w:t>
            </w:r>
          </w:p>
        </w:tc>
        <w:tc>
          <w:tcPr>
            <w:tcW w:w="1174" w:type="dxa"/>
            <w:tcBorders>
              <w:top w:val="single" w:sz="2" w:space="0" w:color="808080" w:themeColor="background1" w:themeShade="80"/>
              <w:left w:val="nil"/>
              <w:bottom w:val="nil"/>
              <w:right w:val="nil"/>
            </w:tcBorders>
            <w:shd w:val="clear" w:color="auto" w:fill="FFFFFF" w:themeFill="background1"/>
            <w:vAlign w:val="center"/>
          </w:tcPr>
          <w:p w14:paraId="5587841B" w14:textId="5E3E48BC"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468</w:t>
            </w:r>
            <w:r w:rsidR="00F547CC">
              <w:rPr>
                <w:rFonts w:ascii="Arial" w:hAnsi="Arial" w:cs="Arial"/>
                <w:color w:val="000000"/>
              </w:rPr>
              <w:t>,</w:t>
            </w:r>
            <w:r w:rsidRPr="000067B8">
              <w:rPr>
                <w:rFonts w:ascii="Arial" w:hAnsi="Arial" w:cs="Arial"/>
                <w:color w:val="000000"/>
              </w:rPr>
              <w:t>9</w:t>
            </w:r>
          </w:p>
        </w:tc>
        <w:tc>
          <w:tcPr>
            <w:tcW w:w="1174" w:type="dxa"/>
            <w:tcBorders>
              <w:top w:val="single" w:sz="2" w:space="0" w:color="808080" w:themeColor="background1" w:themeShade="80"/>
              <w:left w:val="nil"/>
              <w:bottom w:val="nil"/>
              <w:right w:val="nil"/>
            </w:tcBorders>
            <w:shd w:val="clear" w:color="auto" w:fill="FFFFFF" w:themeFill="background1"/>
            <w:vAlign w:val="center"/>
          </w:tcPr>
          <w:p w14:paraId="4AE3D65A" w14:textId="46191647"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5%</w:t>
            </w:r>
          </w:p>
        </w:tc>
      </w:tr>
      <w:tr w:rsidR="00D310AA" w:rsidRPr="00A11680" w14:paraId="6B7505CF" w14:textId="77777777" w:rsidTr="00567B09">
        <w:trPr>
          <w:trHeight w:val="293"/>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0729CB06" w14:textId="01AC35BE" w:rsidR="00D310AA" w:rsidRPr="003629D3" w:rsidRDefault="00D310AA" w:rsidP="00D310AA">
            <w:pPr>
              <w:pStyle w:val="ColorfulList-Accent11"/>
              <w:tabs>
                <w:tab w:val="left" w:pos="0"/>
                <w:tab w:val="left" w:pos="284"/>
              </w:tabs>
              <w:ind w:left="0" w:right="-90"/>
              <w:rPr>
                <w:rFonts w:ascii="Arial" w:hAnsi="Arial" w:cs="Arial"/>
                <w:i/>
              </w:rPr>
            </w:pPr>
            <w:r w:rsidRPr="003629D3">
              <w:rPr>
                <w:rFonts w:ascii="Arial" w:hAnsi="Arial" w:cs="Arial"/>
              </w:rPr>
              <w:t xml:space="preserve">Προσαρμοσμένο EBITDA (AL) </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695E62EB" w14:textId="685405B6"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344</w:t>
            </w:r>
            <w:r w:rsidR="00F547CC">
              <w:rPr>
                <w:rFonts w:ascii="Arial" w:hAnsi="Arial" w:cs="Arial"/>
                <w:color w:val="000000"/>
              </w:rPr>
              <w:t>,</w:t>
            </w:r>
            <w:r w:rsidRPr="000067B8">
              <w:rPr>
                <w:rFonts w:ascii="Arial" w:hAnsi="Arial" w:cs="Arial"/>
                <w:color w:val="000000"/>
              </w:rPr>
              <w:t>5</w:t>
            </w:r>
          </w:p>
        </w:tc>
        <w:tc>
          <w:tcPr>
            <w:tcW w:w="1171" w:type="dxa"/>
            <w:tcBorders>
              <w:top w:val="nil"/>
              <w:left w:val="nil"/>
              <w:bottom w:val="nil"/>
              <w:right w:val="nil"/>
            </w:tcBorders>
            <w:shd w:val="clear" w:color="auto" w:fill="F2F2F2" w:themeFill="background1" w:themeFillShade="F2"/>
            <w:vAlign w:val="center"/>
          </w:tcPr>
          <w:p w14:paraId="6505C4FC" w14:textId="1CD0989B"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341</w:t>
            </w:r>
            <w:r w:rsidR="00F547CC">
              <w:rPr>
                <w:rFonts w:ascii="Arial" w:hAnsi="Arial" w:cs="Arial"/>
                <w:color w:val="000000"/>
              </w:rPr>
              <w:t>,</w:t>
            </w:r>
            <w:r w:rsidRPr="000067B8">
              <w:rPr>
                <w:rFonts w:ascii="Arial" w:hAnsi="Arial" w:cs="Arial"/>
                <w:color w:val="000000"/>
              </w:rPr>
              <w:t>1</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2962DBCD" w14:textId="566ACA69"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0%</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509722A9" w14:textId="1D6D6507"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347</w:t>
            </w:r>
            <w:r w:rsidR="00F547CC">
              <w:rPr>
                <w:rFonts w:ascii="Arial" w:hAnsi="Arial" w:cs="Arial"/>
                <w:color w:val="000000"/>
              </w:rPr>
              <w:t>,</w:t>
            </w:r>
            <w:r w:rsidRPr="000067B8">
              <w:rPr>
                <w:rFonts w:ascii="Arial" w:hAnsi="Arial" w:cs="Arial"/>
                <w:color w:val="000000"/>
              </w:rPr>
              <w:t>3</w:t>
            </w:r>
          </w:p>
        </w:tc>
        <w:tc>
          <w:tcPr>
            <w:tcW w:w="1174" w:type="dxa"/>
            <w:tcBorders>
              <w:top w:val="nil"/>
              <w:left w:val="nil"/>
              <w:bottom w:val="nil"/>
              <w:right w:val="nil"/>
            </w:tcBorders>
            <w:shd w:val="clear" w:color="auto" w:fill="F2F2F2" w:themeFill="background1" w:themeFillShade="F2"/>
            <w:vAlign w:val="center"/>
          </w:tcPr>
          <w:p w14:paraId="51198968" w14:textId="33A2973F"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342</w:t>
            </w:r>
            <w:r w:rsidR="00F547CC">
              <w:rPr>
                <w:rFonts w:ascii="Arial" w:hAnsi="Arial" w:cs="Arial"/>
                <w:color w:val="000000"/>
              </w:rPr>
              <w:t>,</w:t>
            </w:r>
            <w:r w:rsidRPr="000067B8">
              <w:rPr>
                <w:rFonts w:ascii="Arial" w:hAnsi="Arial" w:cs="Arial"/>
                <w:color w:val="000000"/>
              </w:rPr>
              <w:t>5</w:t>
            </w:r>
          </w:p>
        </w:tc>
        <w:tc>
          <w:tcPr>
            <w:tcW w:w="1174" w:type="dxa"/>
            <w:tcBorders>
              <w:top w:val="nil"/>
              <w:left w:val="nil"/>
              <w:bottom w:val="nil"/>
              <w:right w:val="nil"/>
            </w:tcBorders>
            <w:shd w:val="clear" w:color="auto" w:fill="F2F2F2" w:themeFill="background1" w:themeFillShade="F2"/>
            <w:vAlign w:val="center"/>
          </w:tcPr>
          <w:p w14:paraId="5BB936B8" w14:textId="7E38E40D"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+0</w:t>
            </w:r>
            <w:r w:rsidR="00F547CC">
              <w:rPr>
                <w:rFonts w:ascii="Arial" w:hAnsi="Arial" w:cs="Arial"/>
                <w:color w:val="000000"/>
              </w:rPr>
              <w:t>,</w:t>
            </w:r>
            <w:r w:rsidRPr="000067B8">
              <w:rPr>
                <w:rFonts w:ascii="Arial" w:hAnsi="Arial" w:cs="Arial"/>
                <w:color w:val="000000"/>
              </w:rPr>
              <w:t>4%</w:t>
            </w:r>
          </w:p>
        </w:tc>
      </w:tr>
      <w:tr w:rsidR="00D310AA" w:rsidRPr="00A11680" w14:paraId="7A1E6DF4" w14:textId="77777777" w:rsidTr="00567B09">
        <w:trPr>
          <w:trHeight w:val="281"/>
        </w:trPr>
        <w:tc>
          <w:tcPr>
            <w:tcW w:w="3568" w:type="dxa"/>
            <w:tcBorders>
              <w:top w:val="nil"/>
              <w:bottom w:val="nil"/>
              <w:right w:val="single" w:sz="2" w:space="0" w:color="808080" w:themeColor="background1" w:themeShade="80"/>
            </w:tcBorders>
            <w:shd w:val="clear" w:color="auto" w:fill="FFFFFF" w:themeFill="background1"/>
            <w:vAlign w:val="center"/>
          </w:tcPr>
          <w:p w14:paraId="036CD5A8" w14:textId="143B75F2" w:rsidR="00D310AA" w:rsidRPr="003629D3" w:rsidRDefault="00D310AA" w:rsidP="00D310AA">
            <w:pPr>
              <w:pStyle w:val="ColorfulList-Accent11"/>
              <w:tabs>
                <w:tab w:val="left" w:pos="0"/>
                <w:tab w:val="left" w:pos="284"/>
              </w:tabs>
              <w:ind w:left="0" w:right="-90"/>
              <w:jc w:val="right"/>
              <w:rPr>
                <w:rFonts w:ascii="Arial" w:hAnsi="Arial" w:cs="Arial"/>
                <w:i/>
              </w:rPr>
            </w:pPr>
            <w:r w:rsidRPr="003629D3">
              <w:rPr>
                <w:rFonts w:ascii="Arial" w:hAnsi="Arial" w:cs="Arial"/>
                <w:i/>
              </w:rPr>
              <w:t xml:space="preserve">Περιθώριο (%)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014D4076" w14:textId="5B9DE578"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38</w:t>
            </w:r>
            <w:r w:rsidR="00F547CC">
              <w:rPr>
                <w:rFonts w:ascii="Arial" w:hAnsi="Arial" w:cs="Arial"/>
                <w:i/>
                <w:iCs/>
                <w:color w:val="000000"/>
              </w:rPr>
              <w:t>,</w:t>
            </w:r>
            <w:r w:rsidRPr="000067B8">
              <w:rPr>
                <w:rFonts w:ascii="Arial" w:hAnsi="Arial" w:cs="Arial"/>
                <w:i/>
                <w:iCs/>
                <w:color w:val="000000"/>
              </w:rPr>
              <w:t>1%</w:t>
            </w:r>
          </w:p>
        </w:tc>
        <w:tc>
          <w:tcPr>
            <w:tcW w:w="1171" w:type="dxa"/>
            <w:tcBorders>
              <w:top w:val="nil"/>
              <w:left w:val="nil"/>
              <w:bottom w:val="nil"/>
              <w:right w:val="nil"/>
            </w:tcBorders>
            <w:shd w:val="clear" w:color="auto" w:fill="FFFFFF" w:themeFill="background1"/>
            <w:vAlign w:val="center"/>
          </w:tcPr>
          <w:p w14:paraId="0BAEABB6" w14:textId="658B3B66"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36</w:t>
            </w:r>
            <w:r w:rsidR="00F547CC">
              <w:rPr>
                <w:rFonts w:ascii="Arial" w:hAnsi="Arial" w:cs="Arial"/>
                <w:i/>
                <w:iCs/>
                <w:color w:val="000000"/>
              </w:rPr>
              <w:t>,</w:t>
            </w:r>
            <w:r w:rsidRPr="000067B8">
              <w:rPr>
                <w:rFonts w:ascii="Arial" w:hAnsi="Arial" w:cs="Arial"/>
                <w:i/>
                <w:iCs/>
                <w:color w:val="000000"/>
              </w:rPr>
              <w:t>7%</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46FE2B7A" w14:textId="403FDE6C" w:rsidR="00D310AA" w:rsidRPr="00DE75A8" w:rsidRDefault="00D310AA" w:rsidP="00567B09">
            <w:pPr>
              <w:pStyle w:val="ColorfulList-Accent11"/>
              <w:tabs>
                <w:tab w:val="left" w:pos="0"/>
                <w:tab w:val="left" w:pos="284"/>
              </w:tabs>
              <w:ind w:left="0" w:right="-90"/>
              <w:jc w:val="center"/>
              <w:rPr>
                <w:rFonts w:ascii="Arial" w:hAnsi="Arial" w:cs="Arial"/>
                <w:i/>
                <w:color w:val="FF0000"/>
                <w:lang w:val="el-GR"/>
              </w:rPr>
            </w:pPr>
            <w:r w:rsidRPr="000067B8">
              <w:rPr>
                <w:rFonts w:ascii="Arial" w:hAnsi="Arial" w:cs="Arial"/>
                <w:i/>
                <w:iCs/>
                <w:color w:val="000000"/>
              </w:rPr>
              <w:t>+1</w:t>
            </w:r>
            <w:r w:rsidR="00F547CC">
              <w:rPr>
                <w:rFonts w:ascii="Arial" w:hAnsi="Arial" w:cs="Arial"/>
                <w:i/>
                <w:iCs/>
                <w:color w:val="000000"/>
              </w:rPr>
              <w:t>,</w:t>
            </w:r>
            <w:r w:rsidRPr="000067B8">
              <w:rPr>
                <w:rFonts w:ascii="Arial" w:hAnsi="Arial" w:cs="Arial"/>
                <w:i/>
                <w:iCs/>
                <w:color w:val="000000"/>
              </w:rPr>
              <w:t>4</w:t>
            </w:r>
            <w:r w:rsidR="00002620">
              <w:rPr>
                <w:rFonts w:ascii="Arial" w:hAnsi="Arial" w:cs="Arial"/>
                <w:i/>
                <w:iCs/>
                <w:color w:val="000000"/>
                <w:lang w:val="el-GR"/>
              </w:rPr>
              <w:t xml:space="preserve"> </w:t>
            </w:r>
            <w:r w:rsidR="00DE75A8">
              <w:rPr>
                <w:rFonts w:ascii="Arial" w:hAnsi="Arial" w:cs="Arial"/>
                <w:i/>
                <w:iCs/>
                <w:color w:val="000000"/>
                <w:lang w:val="el-GR"/>
              </w:rPr>
              <w:t>μον</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1FD6BBCE" w14:textId="7FF1C1FE"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37</w:t>
            </w:r>
            <w:r w:rsidR="00F547CC">
              <w:rPr>
                <w:rFonts w:ascii="Arial" w:hAnsi="Arial" w:cs="Arial"/>
                <w:i/>
                <w:iCs/>
                <w:color w:val="000000"/>
              </w:rPr>
              <w:t>,</w:t>
            </w:r>
            <w:r w:rsidRPr="000067B8">
              <w:rPr>
                <w:rFonts w:ascii="Arial" w:hAnsi="Arial" w:cs="Arial"/>
                <w:i/>
                <w:iCs/>
                <w:color w:val="000000"/>
              </w:rPr>
              <w:t>5%</w:t>
            </w:r>
          </w:p>
        </w:tc>
        <w:tc>
          <w:tcPr>
            <w:tcW w:w="1174" w:type="dxa"/>
            <w:tcBorders>
              <w:top w:val="nil"/>
              <w:left w:val="nil"/>
              <w:bottom w:val="nil"/>
              <w:right w:val="nil"/>
            </w:tcBorders>
            <w:shd w:val="clear" w:color="auto" w:fill="FFFFFF" w:themeFill="background1"/>
            <w:vAlign w:val="center"/>
          </w:tcPr>
          <w:p w14:paraId="0BEF8CC7" w14:textId="7E796896"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38</w:t>
            </w:r>
            <w:r w:rsidR="00F547CC">
              <w:rPr>
                <w:rFonts w:ascii="Arial" w:hAnsi="Arial" w:cs="Arial"/>
                <w:i/>
                <w:iCs/>
                <w:color w:val="000000"/>
              </w:rPr>
              <w:t>,</w:t>
            </w:r>
            <w:r w:rsidRPr="000067B8">
              <w:rPr>
                <w:rFonts w:ascii="Arial" w:hAnsi="Arial" w:cs="Arial"/>
                <w:i/>
                <w:iCs/>
                <w:color w:val="000000"/>
              </w:rPr>
              <w:t>7%</w:t>
            </w:r>
          </w:p>
        </w:tc>
        <w:tc>
          <w:tcPr>
            <w:tcW w:w="1174" w:type="dxa"/>
            <w:tcBorders>
              <w:top w:val="nil"/>
              <w:left w:val="nil"/>
              <w:bottom w:val="nil"/>
              <w:right w:val="nil"/>
            </w:tcBorders>
            <w:shd w:val="clear" w:color="auto" w:fill="FFFFFF" w:themeFill="background1"/>
            <w:vAlign w:val="center"/>
          </w:tcPr>
          <w:p w14:paraId="7FF877F2" w14:textId="6D44B717" w:rsidR="00D310AA" w:rsidRPr="00DE75A8" w:rsidRDefault="00D310AA" w:rsidP="00567B09">
            <w:pPr>
              <w:pStyle w:val="ColorfulList-Accent11"/>
              <w:tabs>
                <w:tab w:val="left" w:pos="0"/>
                <w:tab w:val="left" w:pos="284"/>
              </w:tabs>
              <w:ind w:left="0" w:right="-90"/>
              <w:jc w:val="center"/>
              <w:rPr>
                <w:rFonts w:ascii="Arial" w:hAnsi="Arial" w:cs="Arial"/>
                <w:i/>
                <w:color w:val="FF0000"/>
                <w:lang w:val="el-GR"/>
              </w:rPr>
            </w:pPr>
            <w:r w:rsidRPr="000067B8">
              <w:rPr>
                <w:rFonts w:ascii="Arial" w:hAnsi="Arial" w:cs="Arial"/>
                <w:i/>
                <w:iCs/>
                <w:color w:val="000000"/>
              </w:rPr>
              <w:t>-1</w:t>
            </w:r>
            <w:r w:rsidR="00F547CC">
              <w:rPr>
                <w:rFonts w:ascii="Arial" w:hAnsi="Arial" w:cs="Arial"/>
                <w:i/>
                <w:iCs/>
                <w:color w:val="000000"/>
              </w:rPr>
              <w:t>,</w:t>
            </w:r>
            <w:r w:rsidRPr="000067B8">
              <w:rPr>
                <w:rFonts w:ascii="Arial" w:hAnsi="Arial" w:cs="Arial"/>
                <w:i/>
                <w:iCs/>
                <w:color w:val="000000"/>
              </w:rPr>
              <w:t>2</w:t>
            </w:r>
            <w:r w:rsidR="00002620">
              <w:rPr>
                <w:rFonts w:ascii="Arial" w:hAnsi="Arial" w:cs="Arial"/>
                <w:i/>
                <w:iCs/>
                <w:color w:val="000000"/>
                <w:lang w:val="el-GR"/>
              </w:rPr>
              <w:t xml:space="preserve"> </w:t>
            </w:r>
            <w:r w:rsidR="00DE75A8">
              <w:rPr>
                <w:rFonts w:ascii="Arial" w:hAnsi="Arial" w:cs="Arial"/>
                <w:i/>
                <w:iCs/>
                <w:color w:val="000000"/>
                <w:lang w:val="el-GR"/>
              </w:rPr>
              <w:t>μον</w:t>
            </w:r>
          </w:p>
        </w:tc>
      </w:tr>
      <w:tr w:rsidR="00D310AA" w:rsidRPr="00A11680" w14:paraId="5868D37F" w14:textId="77777777" w:rsidTr="00567B09">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7C6D3155" w14:textId="0A30F40F" w:rsidR="00D310AA" w:rsidRPr="00C534DB" w:rsidRDefault="00C534DB" w:rsidP="00D310AA">
            <w:pPr>
              <w:pStyle w:val="ColorfulList-Accent11"/>
              <w:tabs>
                <w:tab w:val="left" w:pos="0"/>
                <w:tab w:val="left" w:pos="284"/>
              </w:tabs>
              <w:ind w:left="0" w:right="-90"/>
              <w:rPr>
                <w:rFonts w:ascii="Arial" w:hAnsi="Arial" w:cs="Arial"/>
              </w:rPr>
            </w:pPr>
            <w:r>
              <w:rPr>
                <w:rFonts w:ascii="Arial" w:hAnsi="Arial" w:cs="Arial"/>
              </w:rPr>
              <w:t>EBIT</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040A8849" w14:textId="1FF0BBAC"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115</w:t>
            </w:r>
            <w:r w:rsidR="00F547CC">
              <w:rPr>
                <w:rFonts w:ascii="Arial" w:hAnsi="Arial" w:cs="Arial"/>
                <w:color w:val="000000"/>
              </w:rPr>
              <w:t>,</w:t>
            </w:r>
            <w:r w:rsidRPr="0097388B">
              <w:rPr>
                <w:rFonts w:ascii="Arial" w:hAnsi="Arial" w:cs="Arial"/>
                <w:color w:val="000000"/>
              </w:rPr>
              <w:t>3</w:t>
            </w:r>
          </w:p>
        </w:tc>
        <w:tc>
          <w:tcPr>
            <w:tcW w:w="1171" w:type="dxa"/>
            <w:tcBorders>
              <w:top w:val="nil"/>
              <w:left w:val="nil"/>
              <w:bottom w:val="nil"/>
              <w:right w:val="nil"/>
            </w:tcBorders>
            <w:shd w:val="clear" w:color="auto" w:fill="F2F2F2" w:themeFill="background1" w:themeFillShade="F2"/>
            <w:vAlign w:val="center"/>
          </w:tcPr>
          <w:p w14:paraId="231B1C7B" w14:textId="00E5DA89"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178</w:t>
            </w:r>
            <w:r w:rsidR="00F547CC">
              <w:rPr>
                <w:rFonts w:ascii="Arial" w:hAnsi="Arial" w:cs="Arial"/>
                <w:color w:val="000000"/>
              </w:rPr>
              <w:t>,</w:t>
            </w:r>
            <w:r w:rsidRPr="0097388B">
              <w:rPr>
                <w:rFonts w:ascii="Arial" w:hAnsi="Arial" w:cs="Arial"/>
                <w:color w:val="000000"/>
              </w:rPr>
              <w:t>5</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62206ADB" w14:textId="70B3E2CD"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-35</w:t>
            </w:r>
            <w:r w:rsidR="00F547CC">
              <w:rPr>
                <w:rFonts w:ascii="Arial" w:hAnsi="Arial" w:cs="Arial"/>
                <w:color w:val="000000"/>
              </w:rPr>
              <w:t>,</w:t>
            </w:r>
            <w:r w:rsidRPr="0097388B">
              <w:rPr>
                <w:rFonts w:ascii="Arial" w:hAnsi="Arial" w:cs="Arial"/>
                <w:color w:val="000000"/>
              </w:rPr>
              <w:t>4%</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10B03B0A" w14:textId="5C6E46BC"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668</w:t>
            </w:r>
            <w:r w:rsidR="00F547CC">
              <w:rPr>
                <w:rFonts w:ascii="Arial" w:hAnsi="Arial" w:cs="Arial"/>
                <w:color w:val="000000"/>
              </w:rPr>
              <w:t>,</w:t>
            </w:r>
            <w:r w:rsidRPr="0097388B">
              <w:rPr>
                <w:rFonts w:ascii="Arial" w:hAnsi="Arial" w:cs="Arial"/>
                <w:color w:val="000000"/>
              </w:rPr>
              <w:t>4</w:t>
            </w:r>
          </w:p>
        </w:tc>
        <w:tc>
          <w:tcPr>
            <w:tcW w:w="1174" w:type="dxa"/>
            <w:tcBorders>
              <w:top w:val="nil"/>
              <w:left w:val="nil"/>
              <w:bottom w:val="nil"/>
              <w:right w:val="nil"/>
            </w:tcBorders>
            <w:shd w:val="clear" w:color="auto" w:fill="F2F2F2" w:themeFill="background1" w:themeFillShade="F2"/>
            <w:vAlign w:val="center"/>
          </w:tcPr>
          <w:p w14:paraId="53D59C30" w14:textId="49536F87"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715</w:t>
            </w:r>
            <w:r w:rsidR="00F547CC">
              <w:rPr>
                <w:rFonts w:ascii="Arial" w:hAnsi="Arial" w:cs="Arial"/>
                <w:color w:val="000000"/>
              </w:rPr>
              <w:t>,</w:t>
            </w:r>
            <w:r w:rsidRPr="0097388B">
              <w:rPr>
                <w:rFonts w:ascii="Arial" w:hAnsi="Arial" w:cs="Arial"/>
                <w:color w:val="000000"/>
              </w:rPr>
              <w:t>7</w:t>
            </w:r>
          </w:p>
        </w:tc>
        <w:tc>
          <w:tcPr>
            <w:tcW w:w="1174" w:type="dxa"/>
            <w:tcBorders>
              <w:top w:val="nil"/>
              <w:left w:val="nil"/>
              <w:bottom w:val="nil"/>
              <w:right w:val="nil"/>
            </w:tcBorders>
            <w:shd w:val="clear" w:color="auto" w:fill="F2F2F2" w:themeFill="background1" w:themeFillShade="F2"/>
            <w:vAlign w:val="center"/>
          </w:tcPr>
          <w:p w14:paraId="44D5C80F" w14:textId="5DC52212"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-6</w:t>
            </w:r>
            <w:r w:rsidR="00F547CC">
              <w:rPr>
                <w:rFonts w:ascii="Arial" w:hAnsi="Arial" w:cs="Arial"/>
                <w:color w:val="000000"/>
              </w:rPr>
              <w:t>,</w:t>
            </w:r>
            <w:r w:rsidRPr="0097388B">
              <w:rPr>
                <w:rFonts w:ascii="Arial" w:hAnsi="Arial" w:cs="Arial"/>
                <w:color w:val="000000"/>
              </w:rPr>
              <w:t>6%</w:t>
            </w:r>
          </w:p>
        </w:tc>
      </w:tr>
      <w:tr w:rsidR="00D310AA" w:rsidRPr="00FB222F" w14:paraId="17188FFD" w14:textId="77777777" w:rsidTr="00567B09">
        <w:trPr>
          <w:trHeight w:val="281"/>
        </w:trPr>
        <w:tc>
          <w:tcPr>
            <w:tcW w:w="3568" w:type="dxa"/>
            <w:tcBorders>
              <w:top w:val="nil"/>
              <w:bottom w:val="nil"/>
              <w:right w:val="single" w:sz="2" w:space="0" w:color="808080" w:themeColor="background1" w:themeShade="80"/>
            </w:tcBorders>
            <w:shd w:val="clear" w:color="auto" w:fill="FFFFFF" w:themeFill="background1"/>
            <w:vAlign w:val="center"/>
          </w:tcPr>
          <w:p w14:paraId="48868621" w14:textId="3BC7DABE" w:rsidR="00D310AA" w:rsidRPr="003629D3" w:rsidRDefault="00D310AA" w:rsidP="00D310AA">
            <w:pPr>
              <w:pStyle w:val="ColorfulList-Accent11"/>
              <w:tabs>
                <w:tab w:val="left" w:pos="0"/>
                <w:tab w:val="left" w:pos="284"/>
              </w:tabs>
              <w:ind w:left="0" w:right="-90"/>
              <w:rPr>
                <w:rFonts w:ascii="Arial" w:hAnsi="Arial" w:cs="Arial"/>
                <w:i/>
                <w:lang w:val="el-GR"/>
              </w:rPr>
            </w:pPr>
            <w:r w:rsidRPr="003629D3">
              <w:rPr>
                <w:rFonts w:ascii="Arial" w:hAnsi="Arial" w:cs="Arial"/>
                <w:lang w:val="el-GR"/>
              </w:rPr>
              <w:t>Κέρδη κατανεμημένα στους μετόχους της Εταιρείας</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6BD47567" w14:textId="01694E71" w:rsidR="00D310AA" w:rsidRPr="003629D3" w:rsidRDefault="00D310AA" w:rsidP="00567B09">
            <w:pPr>
              <w:pStyle w:val="ColorfulList-Accent11"/>
              <w:tabs>
                <w:tab w:val="left" w:pos="0"/>
                <w:tab w:val="left" w:pos="284"/>
              </w:tabs>
              <w:ind w:left="0" w:right="-90"/>
              <w:jc w:val="center"/>
              <w:rPr>
                <w:rFonts w:ascii="Arial" w:hAnsi="Arial" w:cs="Arial"/>
                <w:color w:val="FF0000"/>
                <w:lang w:val="el-GR"/>
              </w:rPr>
            </w:pPr>
            <w:r>
              <w:rPr>
                <w:rFonts w:ascii="Arial" w:hAnsi="Arial" w:cs="Arial"/>
              </w:rPr>
              <w:t>64</w:t>
            </w:r>
            <w:r w:rsidR="00F547CC">
              <w:rPr>
                <w:rFonts w:ascii="Arial" w:hAnsi="Arial" w:cs="Arial"/>
              </w:rPr>
              <w:t>,</w:t>
            </w:r>
            <w:r>
              <w:rPr>
                <w:rFonts w:ascii="Arial" w:hAnsi="Arial" w:cs="Arial"/>
              </w:rPr>
              <w:t>5</w:t>
            </w:r>
          </w:p>
        </w:tc>
        <w:tc>
          <w:tcPr>
            <w:tcW w:w="1171" w:type="dxa"/>
            <w:tcBorders>
              <w:top w:val="nil"/>
              <w:left w:val="nil"/>
              <w:bottom w:val="nil"/>
              <w:right w:val="nil"/>
            </w:tcBorders>
            <w:shd w:val="clear" w:color="auto" w:fill="FFFFFF" w:themeFill="background1"/>
            <w:vAlign w:val="center"/>
          </w:tcPr>
          <w:p w14:paraId="50A8F351" w14:textId="3FF305A4" w:rsidR="00D310AA" w:rsidRPr="003629D3" w:rsidRDefault="00D310AA" w:rsidP="00567B09">
            <w:pPr>
              <w:pStyle w:val="ColorfulList-Accent11"/>
              <w:tabs>
                <w:tab w:val="left" w:pos="0"/>
                <w:tab w:val="left" w:pos="284"/>
              </w:tabs>
              <w:ind w:left="0" w:right="-90"/>
              <w:jc w:val="center"/>
              <w:rPr>
                <w:rFonts w:ascii="Arial" w:hAnsi="Arial" w:cs="Arial"/>
                <w:color w:val="FF0000"/>
                <w:lang w:val="el-GR"/>
              </w:rPr>
            </w:pPr>
            <w:r>
              <w:rPr>
                <w:rFonts w:ascii="Arial" w:hAnsi="Arial" w:cs="Arial"/>
              </w:rPr>
              <w:t>134</w:t>
            </w:r>
            <w:r w:rsidR="00F547CC">
              <w:rPr>
                <w:rFonts w:ascii="Arial" w:hAnsi="Arial" w:cs="Arial"/>
              </w:rPr>
              <w:t>,</w:t>
            </w:r>
            <w:r>
              <w:rPr>
                <w:rFonts w:ascii="Arial" w:hAnsi="Arial" w:cs="Arial"/>
              </w:rPr>
              <w:t>5</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7C8B50D9" w14:textId="0A37C58A" w:rsidR="00D310AA" w:rsidRPr="003629D3" w:rsidRDefault="00D310AA" w:rsidP="00567B09">
            <w:pPr>
              <w:pStyle w:val="ColorfulList-Accent11"/>
              <w:tabs>
                <w:tab w:val="left" w:pos="0"/>
                <w:tab w:val="left" w:pos="284"/>
              </w:tabs>
              <w:ind w:left="0" w:right="-90"/>
              <w:jc w:val="center"/>
              <w:rPr>
                <w:rFonts w:ascii="Arial" w:hAnsi="Arial" w:cs="Arial"/>
                <w:color w:val="FF0000"/>
              </w:rPr>
            </w:pPr>
            <w:r>
              <w:rPr>
                <w:rFonts w:ascii="Arial" w:hAnsi="Arial" w:cs="Arial"/>
              </w:rPr>
              <w:t>-52</w:t>
            </w:r>
            <w:r w:rsidR="00F547CC">
              <w:rPr>
                <w:rFonts w:ascii="Arial" w:hAnsi="Arial" w:cs="Arial"/>
              </w:rPr>
              <w:t>,</w:t>
            </w:r>
            <w:r>
              <w:rPr>
                <w:rFonts w:ascii="Arial" w:hAnsi="Arial" w:cs="Arial"/>
              </w:rPr>
              <w:t>0%</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07A9A0A7" w14:textId="692C2E15" w:rsidR="00D310AA" w:rsidRPr="003629D3" w:rsidRDefault="00D310AA" w:rsidP="00567B09">
            <w:pPr>
              <w:pStyle w:val="ColorfulList-Accent11"/>
              <w:tabs>
                <w:tab w:val="left" w:pos="0"/>
                <w:tab w:val="left" w:pos="284"/>
              </w:tabs>
              <w:ind w:left="0" w:right="-90"/>
              <w:jc w:val="center"/>
              <w:rPr>
                <w:rFonts w:ascii="Arial" w:hAnsi="Arial" w:cs="Arial"/>
                <w:color w:val="FF0000"/>
                <w:lang w:val="el-GR"/>
              </w:rPr>
            </w:pPr>
            <w:r>
              <w:rPr>
                <w:rFonts w:ascii="Arial" w:hAnsi="Arial" w:cs="Arial"/>
              </w:rPr>
              <w:t>478</w:t>
            </w:r>
            <w:r w:rsidR="00F547CC">
              <w:rPr>
                <w:rFonts w:ascii="Arial" w:hAnsi="Arial" w:cs="Arial"/>
              </w:rPr>
              <w:t>,</w:t>
            </w:r>
            <w:r>
              <w:rPr>
                <w:rFonts w:ascii="Arial" w:hAnsi="Arial" w:cs="Arial"/>
              </w:rPr>
              <w:t>8</w:t>
            </w:r>
          </w:p>
        </w:tc>
        <w:tc>
          <w:tcPr>
            <w:tcW w:w="1174" w:type="dxa"/>
            <w:tcBorders>
              <w:top w:val="nil"/>
              <w:left w:val="nil"/>
              <w:bottom w:val="nil"/>
              <w:right w:val="nil"/>
            </w:tcBorders>
            <w:shd w:val="clear" w:color="auto" w:fill="FFFFFF" w:themeFill="background1"/>
            <w:vAlign w:val="center"/>
          </w:tcPr>
          <w:p w14:paraId="1184D80D" w14:textId="5EF0C833" w:rsidR="00D310AA" w:rsidRPr="003629D3" w:rsidRDefault="00D310AA" w:rsidP="00567B09">
            <w:pPr>
              <w:pStyle w:val="ColorfulList-Accent11"/>
              <w:tabs>
                <w:tab w:val="left" w:pos="0"/>
                <w:tab w:val="left" w:pos="284"/>
              </w:tabs>
              <w:ind w:left="0" w:right="-90"/>
              <w:jc w:val="center"/>
              <w:rPr>
                <w:rFonts w:ascii="Arial" w:hAnsi="Arial" w:cs="Arial"/>
                <w:color w:val="FF0000"/>
              </w:rPr>
            </w:pPr>
            <w:r>
              <w:rPr>
                <w:rFonts w:ascii="Arial" w:hAnsi="Arial" w:cs="Arial"/>
              </w:rPr>
              <w:t>531</w:t>
            </w:r>
            <w:r w:rsidR="00F547CC">
              <w:rPr>
                <w:rFonts w:ascii="Arial" w:hAnsi="Arial" w:cs="Arial"/>
              </w:rPr>
              <w:t>,</w:t>
            </w:r>
            <w:r>
              <w:rPr>
                <w:rFonts w:ascii="Arial" w:hAnsi="Arial" w:cs="Arial"/>
              </w:rPr>
              <w:t>7</w:t>
            </w:r>
          </w:p>
        </w:tc>
        <w:tc>
          <w:tcPr>
            <w:tcW w:w="1174" w:type="dxa"/>
            <w:tcBorders>
              <w:top w:val="nil"/>
              <w:left w:val="nil"/>
              <w:bottom w:val="nil"/>
              <w:right w:val="nil"/>
            </w:tcBorders>
            <w:shd w:val="clear" w:color="auto" w:fill="FFFFFF" w:themeFill="background1"/>
            <w:vAlign w:val="center"/>
          </w:tcPr>
          <w:p w14:paraId="306112BC" w14:textId="0BDF9C77" w:rsidR="00D310AA" w:rsidRPr="003629D3" w:rsidRDefault="00D310AA" w:rsidP="00567B09">
            <w:pPr>
              <w:pStyle w:val="ColorfulList-Accent11"/>
              <w:tabs>
                <w:tab w:val="left" w:pos="0"/>
                <w:tab w:val="left" w:pos="284"/>
              </w:tabs>
              <w:ind w:left="0" w:right="-90"/>
              <w:jc w:val="center"/>
              <w:rPr>
                <w:rFonts w:ascii="Arial" w:hAnsi="Arial" w:cs="Arial"/>
                <w:color w:val="FF0000"/>
              </w:rPr>
            </w:pPr>
            <w:r>
              <w:rPr>
                <w:rFonts w:ascii="Arial" w:hAnsi="Arial" w:cs="Arial"/>
              </w:rPr>
              <w:t>-9</w:t>
            </w:r>
            <w:r w:rsidR="00F547CC">
              <w:rPr>
                <w:rFonts w:ascii="Arial" w:hAnsi="Arial" w:cs="Arial"/>
              </w:rPr>
              <w:t>,</w:t>
            </w:r>
            <w:r>
              <w:rPr>
                <w:rFonts w:ascii="Arial" w:hAnsi="Arial" w:cs="Arial"/>
              </w:rPr>
              <w:t>9%</w:t>
            </w:r>
          </w:p>
        </w:tc>
      </w:tr>
      <w:tr w:rsidR="00D310AA" w:rsidRPr="00000C44" w14:paraId="63CDD594" w14:textId="77777777" w:rsidTr="00567B09">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2458A0A6" w14:textId="39C38BCA" w:rsidR="00D310AA" w:rsidRPr="003629D3" w:rsidRDefault="00D310AA" w:rsidP="00D310AA">
            <w:pPr>
              <w:pStyle w:val="ColorfulList-Accent11"/>
              <w:tabs>
                <w:tab w:val="left" w:pos="0"/>
                <w:tab w:val="left" w:pos="284"/>
              </w:tabs>
              <w:ind w:left="0" w:right="-90"/>
              <w:rPr>
                <w:rFonts w:ascii="Arial" w:hAnsi="Arial" w:cs="Arial"/>
                <w:lang w:val="el-GR"/>
              </w:rPr>
            </w:pPr>
            <w:r w:rsidRPr="003629D3">
              <w:rPr>
                <w:rFonts w:ascii="Arial" w:hAnsi="Arial" w:cs="Arial"/>
                <w:lang w:val="el-GR"/>
              </w:rPr>
              <w:t>Προσαρμοσμένα Κέρδη κατανεμημένα στους μετόχους της Εταιρείας</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7717BB92" w14:textId="4B606796" w:rsidR="00D310AA" w:rsidRPr="003629D3" w:rsidRDefault="00241AB4" w:rsidP="00567B09">
            <w:pPr>
              <w:pStyle w:val="ColorfulList-Accent11"/>
              <w:tabs>
                <w:tab w:val="left" w:pos="0"/>
                <w:tab w:val="left" w:pos="284"/>
              </w:tabs>
              <w:ind w:left="0" w:right="-90"/>
              <w:jc w:val="center"/>
              <w:rPr>
                <w:rFonts w:ascii="Arial" w:hAnsi="Arial" w:cs="Arial"/>
                <w:color w:val="FF0000"/>
                <w:lang w:val="el-GR"/>
              </w:rPr>
            </w:pPr>
            <w:r w:rsidRPr="00A10E57">
              <w:rPr>
                <w:rFonts w:ascii="Arial" w:hAnsi="Arial" w:cs="Arial"/>
              </w:rPr>
              <w:t>155</w:t>
            </w:r>
            <w:r w:rsidR="00F547CC">
              <w:rPr>
                <w:rFonts w:ascii="Arial" w:hAnsi="Arial" w:cs="Arial"/>
              </w:rPr>
              <w:t>,</w:t>
            </w:r>
            <w:r w:rsidRPr="00A10E57">
              <w:rPr>
                <w:rFonts w:ascii="Arial" w:hAnsi="Arial" w:cs="Arial"/>
              </w:rPr>
              <w:t>6</w:t>
            </w:r>
          </w:p>
        </w:tc>
        <w:tc>
          <w:tcPr>
            <w:tcW w:w="1171" w:type="dxa"/>
            <w:tcBorders>
              <w:top w:val="nil"/>
              <w:left w:val="nil"/>
              <w:bottom w:val="nil"/>
              <w:right w:val="nil"/>
            </w:tcBorders>
            <w:shd w:val="clear" w:color="auto" w:fill="F2F2F2" w:themeFill="background1" w:themeFillShade="F2"/>
            <w:vAlign w:val="center"/>
          </w:tcPr>
          <w:p w14:paraId="6483C3E0" w14:textId="6BFA30D4" w:rsidR="00D310AA" w:rsidRPr="003629D3" w:rsidRDefault="00241AB4"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140</w:t>
            </w:r>
            <w:r w:rsidR="00F547CC">
              <w:rPr>
                <w:rFonts w:ascii="Arial" w:hAnsi="Arial" w:cs="Arial"/>
              </w:rPr>
              <w:t>,</w:t>
            </w:r>
            <w:r w:rsidRPr="00A10E57">
              <w:rPr>
                <w:rFonts w:ascii="Arial" w:hAnsi="Arial" w:cs="Arial"/>
              </w:rPr>
              <w:t>8</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2DFE61AF" w14:textId="6B5FA3B5"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w:t>
            </w:r>
            <w:r w:rsidR="00241AB4" w:rsidRPr="00A10E57">
              <w:rPr>
                <w:rFonts w:ascii="Arial" w:hAnsi="Arial" w:cs="Arial"/>
              </w:rPr>
              <w:t>10</w:t>
            </w:r>
            <w:r w:rsidR="00F547CC">
              <w:rPr>
                <w:rFonts w:ascii="Arial" w:hAnsi="Arial" w:cs="Arial"/>
              </w:rPr>
              <w:t>,</w:t>
            </w:r>
            <w:r w:rsidRPr="00A10E57">
              <w:rPr>
                <w:rFonts w:ascii="Arial" w:hAnsi="Arial" w:cs="Arial"/>
              </w:rPr>
              <w:t>5%</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12F65357" w14:textId="727F55C0" w:rsidR="00D310AA" w:rsidRPr="003629D3" w:rsidRDefault="00241AB4"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600</w:t>
            </w:r>
            <w:r w:rsidR="00F547CC">
              <w:rPr>
                <w:rFonts w:ascii="Arial" w:hAnsi="Arial" w:cs="Arial"/>
              </w:rPr>
              <w:t>,</w:t>
            </w:r>
            <w:r w:rsidRPr="00A10E57">
              <w:rPr>
                <w:rFonts w:ascii="Arial" w:hAnsi="Arial" w:cs="Arial"/>
              </w:rPr>
              <w:t>8</w:t>
            </w:r>
          </w:p>
        </w:tc>
        <w:tc>
          <w:tcPr>
            <w:tcW w:w="1174" w:type="dxa"/>
            <w:tcBorders>
              <w:top w:val="nil"/>
              <w:left w:val="nil"/>
              <w:bottom w:val="nil"/>
              <w:right w:val="nil"/>
            </w:tcBorders>
            <w:shd w:val="clear" w:color="auto" w:fill="F2F2F2" w:themeFill="background1" w:themeFillShade="F2"/>
            <w:vAlign w:val="center"/>
          </w:tcPr>
          <w:p w14:paraId="0EE7DF24" w14:textId="7D3768E7" w:rsidR="00D310AA" w:rsidRPr="003629D3" w:rsidRDefault="00241AB4"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562</w:t>
            </w:r>
            <w:r w:rsidR="00F547CC">
              <w:rPr>
                <w:rFonts w:ascii="Arial" w:hAnsi="Arial" w:cs="Arial"/>
              </w:rPr>
              <w:t>,</w:t>
            </w:r>
            <w:r w:rsidRPr="00A10E57">
              <w:rPr>
                <w:rFonts w:ascii="Arial" w:hAnsi="Arial" w:cs="Arial"/>
              </w:rPr>
              <w:t>7</w:t>
            </w:r>
          </w:p>
        </w:tc>
        <w:tc>
          <w:tcPr>
            <w:tcW w:w="1174" w:type="dxa"/>
            <w:tcBorders>
              <w:top w:val="nil"/>
              <w:left w:val="nil"/>
              <w:bottom w:val="nil"/>
              <w:right w:val="nil"/>
            </w:tcBorders>
            <w:shd w:val="clear" w:color="auto" w:fill="F2F2F2" w:themeFill="background1" w:themeFillShade="F2"/>
            <w:vAlign w:val="center"/>
          </w:tcPr>
          <w:p w14:paraId="706813D5" w14:textId="5B1DBBF9"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w:t>
            </w:r>
            <w:r w:rsidR="00241AB4" w:rsidRPr="00A10E57">
              <w:rPr>
                <w:rFonts w:ascii="Arial" w:hAnsi="Arial" w:cs="Arial"/>
              </w:rPr>
              <w:t>6</w:t>
            </w:r>
            <w:r w:rsidR="00F547CC">
              <w:rPr>
                <w:rFonts w:ascii="Arial" w:hAnsi="Arial" w:cs="Arial"/>
              </w:rPr>
              <w:t>,</w:t>
            </w:r>
            <w:r w:rsidR="00241AB4" w:rsidRPr="00A10E57">
              <w:rPr>
                <w:rFonts w:ascii="Arial" w:hAnsi="Arial" w:cs="Arial"/>
              </w:rPr>
              <w:t>8</w:t>
            </w:r>
            <w:r w:rsidRPr="00A10E57">
              <w:rPr>
                <w:rFonts w:ascii="Arial" w:hAnsi="Arial" w:cs="Arial"/>
              </w:rPr>
              <w:t>%</w:t>
            </w:r>
          </w:p>
        </w:tc>
      </w:tr>
      <w:tr w:rsidR="00D310AA" w:rsidRPr="00650073" w14:paraId="368A80F8" w14:textId="77777777" w:rsidTr="00567B09">
        <w:trPr>
          <w:trHeight w:val="293"/>
        </w:trPr>
        <w:tc>
          <w:tcPr>
            <w:tcW w:w="3568" w:type="dxa"/>
            <w:tcBorders>
              <w:top w:val="nil"/>
              <w:bottom w:val="nil"/>
              <w:right w:val="single" w:sz="2" w:space="0" w:color="808080" w:themeColor="background1" w:themeShade="80"/>
            </w:tcBorders>
            <w:shd w:val="clear" w:color="auto" w:fill="FFFFFF" w:themeFill="background1"/>
            <w:vAlign w:val="center"/>
          </w:tcPr>
          <w:p w14:paraId="6A876AB3" w14:textId="4DF3BD35" w:rsidR="00D310AA" w:rsidRPr="003629D3" w:rsidRDefault="00D310AA" w:rsidP="00D310AA">
            <w:pPr>
              <w:pStyle w:val="ColorfulList-Accent11"/>
              <w:tabs>
                <w:tab w:val="left" w:pos="0"/>
                <w:tab w:val="left" w:pos="284"/>
              </w:tabs>
              <w:ind w:left="0" w:right="-90"/>
              <w:jc w:val="right"/>
              <w:rPr>
                <w:rFonts w:ascii="Arial" w:hAnsi="Arial" w:cs="Arial"/>
                <w:i/>
              </w:rPr>
            </w:pPr>
            <w:r w:rsidRPr="003629D3">
              <w:rPr>
                <w:rFonts w:ascii="Arial" w:hAnsi="Arial" w:cs="Arial"/>
                <w:i/>
              </w:rPr>
              <w:t>Βασικά Κέρδη ανά μετοχή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6815505B" w14:textId="730DD218" w:rsidR="00D310AA" w:rsidRPr="003629D3" w:rsidRDefault="00D310AA" w:rsidP="00567B09">
            <w:pPr>
              <w:pStyle w:val="ColorfulList-Accent11"/>
              <w:tabs>
                <w:tab w:val="left" w:pos="0"/>
                <w:tab w:val="left" w:pos="284"/>
              </w:tabs>
              <w:ind w:left="0" w:right="-90"/>
              <w:jc w:val="center"/>
              <w:rPr>
                <w:rFonts w:ascii="Arial" w:hAnsi="Arial" w:cs="Arial"/>
                <w:i/>
                <w:color w:val="FF0000"/>
                <w:lang w:val="el-GR"/>
              </w:rPr>
            </w:pPr>
            <w:r w:rsidRPr="00A10E57">
              <w:rPr>
                <w:rFonts w:ascii="Arial" w:hAnsi="Arial" w:cs="Arial"/>
                <w:i/>
              </w:rPr>
              <w:t>0</w:t>
            </w:r>
            <w:r w:rsidR="00F547CC">
              <w:rPr>
                <w:rFonts w:ascii="Arial" w:hAnsi="Arial" w:cs="Arial"/>
                <w:i/>
              </w:rPr>
              <w:t>,</w:t>
            </w:r>
            <w:r w:rsidR="00241AB4" w:rsidRPr="00A10E57">
              <w:rPr>
                <w:rFonts w:ascii="Arial" w:hAnsi="Arial" w:cs="Arial"/>
                <w:i/>
                <w:iCs/>
              </w:rPr>
              <w:t>1583</w:t>
            </w:r>
          </w:p>
        </w:tc>
        <w:tc>
          <w:tcPr>
            <w:tcW w:w="1171" w:type="dxa"/>
            <w:tcBorders>
              <w:top w:val="nil"/>
              <w:left w:val="nil"/>
              <w:bottom w:val="nil"/>
              <w:right w:val="nil"/>
            </w:tcBorders>
            <w:shd w:val="clear" w:color="auto" w:fill="FFFFFF" w:themeFill="background1"/>
            <w:vAlign w:val="center"/>
          </w:tcPr>
          <w:p w14:paraId="14B8B284" w14:textId="1E18B001" w:rsidR="00D310AA" w:rsidRPr="003629D3" w:rsidRDefault="00D310AA" w:rsidP="00567B09">
            <w:pPr>
              <w:pStyle w:val="ColorfulList-Accent11"/>
              <w:tabs>
                <w:tab w:val="left" w:pos="0"/>
                <w:tab w:val="left" w:pos="284"/>
              </w:tabs>
              <w:ind w:left="0" w:right="-90"/>
              <w:jc w:val="center"/>
              <w:rPr>
                <w:rFonts w:ascii="Arial" w:hAnsi="Arial" w:cs="Arial"/>
                <w:i/>
                <w:color w:val="FF0000"/>
                <w:lang w:val="el-GR"/>
              </w:rPr>
            </w:pPr>
            <w:r w:rsidRPr="00A10E57">
              <w:rPr>
                <w:rFonts w:ascii="Arial" w:hAnsi="Arial" w:cs="Arial"/>
                <w:i/>
              </w:rPr>
              <w:t>0</w:t>
            </w:r>
            <w:r w:rsidR="00F547CC">
              <w:rPr>
                <w:rFonts w:ascii="Arial" w:hAnsi="Arial" w:cs="Arial"/>
                <w:i/>
              </w:rPr>
              <w:t>,</w:t>
            </w:r>
            <w:r w:rsidR="00241AB4" w:rsidRPr="00A10E57">
              <w:rPr>
                <w:rFonts w:ascii="Arial" w:hAnsi="Arial" w:cs="Arial"/>
                <w:i/>
                <w:iCs/>
              </w:rPr>
              <w:t>3223</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0CA5244F" w14:textId="0511EFBE" w:rsidR="00D310AA" w:rsidRPr="003629D3" w:rsidRDefault="00241AB4"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iCs/>
              </w:rPr>
              <w:t>-50</w:t>
            </w:r>
            <w:r w:rsidR="00F547CC">
              <w:rPr>
                <w:rFonts w:ascii="Arial" w:hAnsi="Arial" w:cs="Arial"/>
                <w:i/>
                <w:iCs/>
              </w:rPr>
              <w:t>,</w:t>
            </w:r>
            <w:r w:rsidRPr="00A10E57">
              <w:rPr>
                <w:rFonts w:ascii="Arial" w:hAnsi="Arial" w:cs="Arial"/>
                <w:i/>
                <w:iCs/>
              </w:rPr>
              <w:t>9%</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366EA093" w14:textId="20555577"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rPr>
              <w:t>1</w:t>
            </w:r>
            <w:r w:rsidR="00F547CC">
              <w:rPr>
                <w:rFonts w:ascii="Arial" w:hAnsi="Arial" w:cs="Arial"/>
                <w:i/>
              </w:rPr>
              <w:t>,</w:t>
            </w:r>
            <w:r w:rsidR="00241AB4" w:rsidRPr="00A10E57">
              <w:rPr>
                <w:rFonts w:ascii="Arial" w:hAnsi="Arial" w:cs="Arial"/>
                <w:i/>
                <w:iCs/>
              </w:rPr>
              <w:t>1630</w:t>
            </w:r>
          </w:p>
        </w:tc>
        <w:tc>
          <w:tcPr>
            <w:tcW w:w="1174" w:type="dxa"/>
            <w:tcBorders>
              <w:top w:val="nil"/>
              <w:left w:val="nil"/>
              <w:bottom w:val="nil"/>
              <w:right w:val="nil"/>
            </w:tcBorders>
            <w:shd w:val="clear" w:color="auto" w:fill="FFFFFF" w:themeFill="background1"/>
            <w:vAlign w:val="center"/>
          </w:tcPr>
          <w:p w14:paraId="4D12F1E1" w14:textId="4EA56E98" w:rsidR="00D310AA" w:rsidRPr="003629D3" w:rsidRDefault="00241AB4"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iCs/>
              </w:rPr>
              <w:t>1</w:t>
            </w:r>
            <w:r w:rsidR="00F547CC">
              <w:rPr>
                <w:rFonts w:ascii="Arial" w:hAnsi="Arial" w:cs="Arial"/>
                <w:i/>
                <w:iCs/>
              </w:rPr>
              <w:t>,</w:t>
            </w:r>
            <w:r w:rsidRPr="00A10E57">
              <w:rPr>
                <w:rFonts w:ascii="Arial" w:hAnsi="Arial" w:cs="Arial"/>
                <w:i/>
                <w:iCs/>
              </w:rPr>
              <w:t>2556</w:t>
            </w:r>
          </w:p>
        </w:tc>
        <w:tc>
          <w:tcPr>
            <w:tcW w:w="1174" w:type="dxa"/>
            <w:tcBorders>
              <w:top w:val="nil"/>
              <w:left w:val="nil"/>
              <w:bottom w:val="nil"/>
              <w:right w:val="nil"/>
            </w:tcBorders>
            <w:shd w:val="clear" w:color="auto" w:fill="FFFFFF" w:themeFill="background1"/>
            <w:vAlign w:val="center"/>
          </w:tcPr>
          <w:p w14:paraId="6AD633B4" w14:textId="34703297" w:rsidR="00D310AA" w:rsidRPr="003629D3" w:rsidRDefault="00241AB4"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iCs/>
              </w:rPr>
              <w:t>-</w:t>
            </w:r>
            <w:r w:rsidR="00D310AA" w:rsidRPr="00A10E57">
              <w:rPr>
                <w:rFonts w:ascii="Arial" w:hAnsi="Arial" w:cs="Arial"/>
                <w:i/>
              </w:rPr>
              <w:t>7</w:t>
            </w:r>
            <w:r w:rsidR="00F547CC">
              <w:rPr>
                <w:rFonts w:ascii="Arial" w:hAnsi="Arial" w:cs="Arial"/>
                <w:i/>
              </w:rPr>
              <w:t>,</w:t>
            </w:r>
            <w:r w:rsidR="00D310AA" w:rsidRPr="00A10E57">
              <w:rPr>
                <w:rFonts w:ascii="Arial" w:hAnsi="Arial" w:cs="Arial"/>
                <w:i/>
              </w:rPr>
              <w:t>4%</w:t>
            </w:r>
          </w:p>
        </w:tc>
      </w:tr>
      <w:tr w:rsidR="00D310AA" w:rsidRPr="002E09A8" w14:paraId="45BBBE30" w14:textId="77777777" w:rsidTr="00567B09">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7A82783E" w14:textId="38355F03" w:rsidR="00D310AA" w:rsidRPr="003629D3" w:rsidRDefault="00D310AA" w:rsidP="00D310AA">
            <w:pPr>
              <w:pStyle w:val="ColorfulList-Accent11"/>
              <w:tabs>
                <w:tab w:val="left" w:pos="0"/>
                <w:tab w:val="left" w:pos="284"/>
              </w:tabs>
              <w:ind w:left="0" w:right="-90"/>
              <w:rPr>
                <w:rFonts w:ascii="Arial" w:hAnsi="Arial" w:cs="Arial"/>
                <w:i/>
                <w:lang w:val="el-GR"/>
              </w:rPr>
            </w:pPr>
            <w:r w:rsidRPr="003629D3">
              <w:rPr>
                <w:rFonts w:ascii="Arial" w:hAnsi="Arial" w:cs="Arial"/>
                <w:lang w:val="el-GR"/>
              </w:rPr>
              <w:t>Επενδύσεις σε πάγια περιουσιακά στοιχεία</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7A4BCDAB" w14:textId="06793CC2"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166</w:t>
            </w:r>
            <w:r w:rsidR="00F547CC">
              <w:rPr>
                <w:rFonts w:ascii="Arial" w:hAnsi="Arial" w:cs="Arial"/>
              </w:rPr>
              <w:t>,</w:t>
            </w:r>
            <w:r w:rsidRPr="000067B8">
              <w:rPr>
                <w:rFonts w:ascii="Arial" w:hAnsi="Arial" w:cs="Arial"/>
              </w:rPr>
              <w:t>7</w:t>
            </w:r>
          </w:p>
        </w:tc>
        <w:tc>
          <w:tcPr>
            <w:tcW w:w="1171" w:type="dxa"/>
            <w:tcBorders>
              <w:top w:val="nil"/>
              <w:left w:val="nil"/>
              <w:bottom w:val="nil"/>
              <w:right w:val="nil"/>
            </w:tcBorders>
            <w:shd w:val="clear" w:color="auto" w:fill="F2F2F2" w:themeFill="background1" w:themeFillShade="F2"/>
            <w:vAlign w:val="center"/>
          </w:tcPr>
          <w:p w14:paraId="491E0FBB" w14:textId="085FC093"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191</w:t>
            </w:r>
            <w:r w:rsidR="00F547CC">
              <w:rPr>
                <w:rFonts w:ascii="Arial" w:hAnsi="Arial" w:cs="Arial"/>
              </w:rPr>
              <w:t>,</w:t>
            </w:r>
            <w:r w:rsidRPr="000067B8">
              <w:rPr>
                <w:rFonts w:ascii="Arial" w:hAnsi="Arial" w:cs="Arial"/>
              </w:rPr>
              <w:t>5</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214E6774" w14:textId="20DA6C7C" w:rsidR="00D310AA" w:rsidRPr="003629D3" w:rsidRDefault="00D310AA" w:rsidP="00567B09">
            <w:pPr>
              <w:pStyle w:val="ColorfulList-Accent11"/>
              <w:tabs>
                <w:tab w:val="left" w:pos="0"/>
                <w:tab w:val="left" w:pos="284"/>
              </w:tabs>
              <w:ind w:left="0" w:right="-90"/>
              <w:jc w:val="center"/>
              <w:rPr>
                <w:rFonts w:ascii="Arial" w:hAnsi="Arial" w:cs="Arial"/>
                <w:i/>
              </w:rPr>
            </w:pPr>
            <w:r w:rsidRPr="000067B8">
              <w:rPr>
                <w:rFonts w:ascii="Arial" w:hAnsi="Arial" w:cs="Arial"/>
              </w:rPr>
              <w:t>-13</w:t>
            </w:r>
            <w:r w:rsidR="00F547CC">
              <w:rPr>
                <w:rFonts w:ascii="Arial" w:hAnsi="Arial" w:cs="Arial"/>
              </w:rPr>
              <w:t>,</w:t>
            </w:r>
            <w:r w:rsidRPr="000067B8">
              <w:rPr>
                <w:rFonts w:ascii="Arial" w:hAnsi="Arial" w:cs="Arial"/>
              </w:rPr>
              <w:t>0%</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57E3A3E8" w14:textId="3C600F3B"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599</w:t>
            </w:r>
            <w:r w:rsidR="00F547CC">
              <w:rPr>
                <w:rFonts w:ascii="Arial" w:hAnsi="Arial" w:cs="Arial"/>
              </w:rPr>
              <w:t>,</w:t>
            </w:r>
            <w:r w:rsidRPr="000067B8">
              <w:rPr>
                <w:rFonts w:ascii="Arial" w:hAnsi="Arial" w:cs="Arial"/>
              </w:rPr>
              <w:t>7</w:t>
            </w:r>
          </w:p>
        </w:tc>
        <w:tc>
          <w:tcPr>
            <w:tcW w:w="1174" w:type="dxa"/>
            <w:tcBorders>
              <w:top w:val="nil"/>
              <w:left w:val="nil"/>
              <w:bottom w:val="nil"/>
              <w:right w:val="nil"/>
            </w:tcBorders>
            <w:shd w:val="clear" w:color="auto" w:fill="F2F2F2" w:themeFill="background1" w:themeFillShade="F2"/>
            <w:vAlign w:val="center"/>
          </w:tcPr>
          <w:p w14:paraId="5313E228" w14:textId="2C4D73A8"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621</w:t>
            </w:r>
            <w:r w:rsidR="00F547CC">
              <w:rPr>
                <w:rFonts w:ascii="Arial" w:hAnsi="Arial" w:cs="Arial"/>
              </w:rPr>
              <w:t>,</w:t>
            </w:r>
            <w:r w:rsidRPr="000067B8">
              <w:rPr>
                <w:rFonts w:ascii="Arial" w:hAnsi="Arial" w:cs="Arial"/>
              </w:rPr>
              <w:t>4</w:t>
            </w:r>
          </w:p>
        </w:tc>
        <w:tc>
          <w:tcPr>
            <w:tcW w:w="1174" w:type="dxa"/>
            <w:tcBorders>
              <w:top w:val="nil"/>
              <w:left w:val="nil"/>
              <w:bottom w:val="nil"/>
              <w:right w:val="nil"/>
            </w:tcBorders>
            <w:shd w:val="clear" w:color="auto" w:fill="F2F2F2" w:themeFill="background1" w:themeFillShade="F2"/>
            <w:vAlign w:val="center"/>
          </w:tcPr>
          <w:p w14:paraId="3CD8016E" w14:textId="5F178703"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-3</w:t>
            </w:r>
            <w:r w:rsidR="00F547CC">
              <w:rPr>
                <w:rFonts w:ascii="Arial" w:hAnsi="Arial" w:cs="Arial"/>
              </w:rPr>
              <w:t>,</w:t>
            </w:r>
            <w:r w:rsidRPr="000067B8">
              <w:rPr>
                <w:rFonts w:ascii="Arial" w:hAnsi="Arial" w:cs="Arial"/>
              </w:rPr>
              <w:t>5%</w:t>
            </w:r>
          </w:p>
        </w:tc>
      </w:tr>
      <w:tr w:rsidR="00D310AA" w:rsidRPr="002E09A8" w14:paraId="77ED7466" w14:textId="77777777" w:rsidTr="00567B09">
        <w:trPr>
          <w:trHeight w:val="281"/>
        </w:trPr>
        <w:tc>
          <w:tcPr>
            <w:tcW w:w="3568" w:type="dxa"/>
            <w:tcBorders>
              <w:top w:val="nil"/>
              <w:bottom w:val="nil"/>
              <w:right w:val="single" w:sz="2" w:space="0" w:color="808080" w:themeColor="background1" w:themeShade="80"/>
            </w:tcBorders>
            <w:shd w:val="clear" w:color="auto" w:fill="FFFFFF" w:themeFill="background1"/>
            <w:vAlign w:val="center"/>
          </w:tcPr>
          <w:p w14:paraId="4E7C207D" w14:textId="4E5A44E7" w:rsidR="00D310AA" w:rsidRPr="003629D3" w:rsidRDefault="00D310AA" w:rsidP="00D310AA">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 xml:space="preserve">Ελεύθερες Ταμειακές Ροές (AL)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0AF72837" w14:textId="2BA47DC9"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100</w:t>
            </w:r>
            <w:r w:rsidR="00F547CC">
              <w:rPr>
                <w:rFonts w:ascii="Arial" w:hAnsi="Arial" w:cs="Arial"/>
                <w:color w:val="000000"/>
              </w:rPr>
              <w:t>,</w:t>
            </w:r>
            <w:r w:rsidRPr="000067B8">
              <w:rPr>
                <w:rFonts w:ascii="Arial" w:hAnsi="Arial" w:cs="Arial"/>
                <w:color w:val="000000"/>
              </w:rPr>
              <w:t>7</w:t>
            </w:r>
          </w:p>
        </w:tc>
        <w:tc>
          <w:tcPr>
            <w:tcW w:w="1171" w:type="dxa"/>
            <w:tcBorders>
              <w:top w:val="nil"/>
              <w:left w:val="nil"/>
              <w:bottom w:val="nil"/>
              <w:right w:val="nil"/>
            </w:tcBorders>
            <w:shd w:val="clear" w:color="auto" w:fill="FFFFFF" w:themeFill="background1"/>
            <w:vAlign w:val="center"/>
          </w:tcPr>
          <w:p w14:paraId="46CE806D" w14:textId="51A74AFD"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104</w:t>
            </w:r>
            <w:r w:rsidR="00F547CC">
              <w:rPr>
                <w:rFonts w:ascii="Arial" w:hAnsi="Arial" w:cs="Arial"/>
                <w:color w:val="000000"/>
              </w:rPr>
              <w:t>,</w:t>
            </w:r>
            <w:r w:rsidRPr="000067B8">
              <w:rPr>
                <w:rFonts w:ascii="Arial" w:hAnsi="Arial" w:cs="Arial"/>
                <w:color w:val="000000"/>
              </w:rPr>
              <w:t>1</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7B21A325" w14:textId="5D365E00"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3%</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547CC291" w14:textId="50793ADB"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444</w:t>
            </w:r>
            <w:r w:rsidR="00F547CC">
              <w:rPr>
                <w:rFonts w:ascii="Arial" w:hAnsi="Arial" w:cs="Arial"/>
                <w:color w:val="000000"/>
              </w:rPr>
              <w:t>,</w:t>
            </w:r>
            <w:r w:rsidRPr="000067B8">
              <w:rPr>
                <w:rFonts w:ascii="Arial" w:hAnsi="Arial" w:cs="Arial"/>
                <w:color w:val="000000"/>
              </w:rPr>
              <w:t>2</w:t>
            </w:r>
          </w:p>
        </w:tc>
        <w:tc>
          <w:tcPr>
            <w:tcW w:w="1174" w:type="dxa"/>
            <w:tcBorders>
              <w:top w:val="nil"/>
              <w:left w:val="nil"/>
              <w:bottom w:val="nil"/>
              <w:right w:val="nil"/>
            </w:tcBorders>
            <w:shd w:val="clear" w:color="auto" w:fill="FFFFFF" w:themeFill="background1"/>
            <w:vAlign w:val="center"/>
          </w:tcPr>
          <w:p w14:paraId="514125E4" w14:textId="3A182111"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501</w:t>
            </w:r>
            <w:r w:rsidR="00F547CC">
              <w:rPr>
                <w:rFonts w:ascii="Arial" w:hAnsi="Arial" w:cs="Arial"/>
                <w:color w:val="000000"/>
              </w:rPr>
              <w:t>,</w:t>
            </w:r>
            <w:r w:rsidRPr="000067B8">
              <w:rPr>
                <w:rFonts w:ascii="Arial" w:hAnsi="Arial" w:cs="Arial"/>
                <w:color w:val="000000"/>
              </w:rPr>
              <w:t>2</w:t>
            </w:r>
          </w:p>
        </w:tc>
        <w:tc>
          <w:tcPr>
            <w:tcW w:w="1174" w:type="dxa"/>
            <w:tcBorders>
              <w:top w:val="nil"/>
              <w:left w:val="nil"/>
              <w:bottom w:val="nil"/>
              <w:right w:val="nil"/>
            </w:tcBorders>
            <w:shd w:val="clear" w:color="auto" w:fill="FFFFFF" w:themeFill="background1"/>
            <w:vAlign w:val="center"/>
          </w:tcPr>
          <w:p w14:paraId="4B578746" w14:textId="463D94EF"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-11</w:t>
            </w:r>
            <w:r w:rsidR="00F547CC">
              <w:rPr>
                <w:rFonts w:ascii="Arial" w:hAnsi="Arial" w:cs="Arial"/>
                <w:color w:val="000000"/>
              </w:rPr>
              <w:t>,</w:t>
            </w:r>
            <w:r w:rsidRPr="000067B8">
              <w:rPr>
                <w:rFonts w:ascii="Arial" w:hAnsi="Arial" w:cs="Arial"/>
                <w:color w:val="000000"/>
              </w:rPr>
              <w:t>4%</w:t>
            </w:r>
          </w:p>
        </w:tc>
      </w:tr>
      <w:tr w:rsidR="00D310AA" w:rsidRPr="002E09A8" w14:paraId="239E175E" w14:textId="77777777" w:rsidTr="00800FD4">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5A492A1B" w14:textId="6A9F6555" w:rsidR="00D310AA" w:rsidRPr="00A277CC" w:rsidRDefault="0051466E" w:rsidP="00D310AA">
            <w:pPr>
              <w:pStyle w:val="ColorfulList-Accent11"/>
              <w:tabs>
                <w:tab w:val="left" w:pos="0"/>
                <w:tab w:val="left" w:pos="284"/>
              </w:tabs>
              <w:ind w:left="0" w:right="-90"/>
              <w:rPr>
                <w:rFonts w:ascii="Arial" w:hAnsi="Arial" w:cs="Arial"/>
                <w:highlight w:val="yellow"/>
                <w:lang w:val="el-GR"/>
              </w:rPr>
            </w:pPr>
            <w:r w:rsidRPr="00567B09">
              <w:rPr>
                <w:rFonts w:ascii="Arial" w:hAnsi="Arial" w:cs="Arial"/>
                <w:lang w:val="el-GR"/>
              </w:rPr>
              <w:t xml:space="preserve">Προσαρμοσμένες </w:t>
            </w:r>
            <w:r w:rsidR="00D310AA" w:rsidRPr="00567B09">
              <w:rPr>
                <w:rFonts w:ascii="Arial" w:hAnsi="Arial" w:cs="Arial"/>
                <w:lang w:val="el-GR"/>
              </w:rPr>
              <w:t>Ελεύθερες Ταμειακές Ροές (</w:t>
            </w:r>
            <w:r w:rsidR="00D310AA" w:rsidRPr="00567B09">
              <w:rPr>
                <w:rFonts w:ascii="Arial" w:hAnsi="Arial" w:cs="Arial"/>
              </w:rPr>
              <w:t>AL</w:t>
            </w:r>
            <w:r w:rsidR="00D310AA" w:rsidRPr="00567B09">
              <w:rPr>
                <w:rFonts w:ascii="Arial" w:hAnsi="Arial" w:cs="Arial"/>
                <w:lang w:val="el-GR"/>
              </w:rPr>
              <w:t>)</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43E12F5E" w14:textId="3DDB3F5C"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141</w:t>
            </w:r>
            <w:r w:rsidR="00F547CC">
              <w:rPr>
                <w:rFonts w:ascii="Arial" w:hAnsi="Arial" w:cs="Arial"/>
                <w:color w:val="000000"/>
              </w:rPr>
              <w:t>,</w:t>
            </w:r>
            <w:r w:rsidRPr="000067B8">
              <w:rPr>
                <w:rFonts w:ascii="Arial" w:hAnsi="Arial" w:cs="Arial"/>
                <w:color w:val="000000"/>
              </w:rPr>
              <w:t>6</w:t>
            </w:r>
          </w:p>
        </w:tc>
        <w:tc>
          <w:tcPr>
            <w:tcW w:w="1171" w:type="dxa"/>
            <w:tcBorders>
              <w:top w:val="nil"/>
              <w:left w:val="nil"/>
              <w:bottom w:val="nil"/>
              <w:right w:val="nil"/>
            </w:tcBorders>
            <w:shd w:val="clear" w:color="auto" w:fill="F2F2F2" w:themeFill="background1" w:themeFillShade="F2"/>
            <w:vAlign w:val="center"/>
          </w:tcPr>
          <w:p w14:paraId="30E2EFA8" w14:textId="592A382A"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116</w:t>
            </w:r>
            <w:r w:rsidR="00F547CC">
              <w:rPr>
                <w:rFonts w:ascii="Arial" w:hAnsi="Arial" w:cs="Arial"/>
                <w:color w:val="000000"/>
              </w:rPr>
              <w:t>,</w:t>
            </w:r>
            <w:r w:rsidRPr="000067B8">
              <w:rPr>
                <w:rFonts w:ascii="Arial" w:hAnsi="Arial" w:cs="Arial"/>
                <w:color w:val="000000"/>
              </w:rPr>
              <w:t>1</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0D10D6F4" w14:textId="3EF26EE4"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+22</w:t>
            </w:r>
            <w:r w:rsidR="00F547CC">
              <w:rPr>
                <w:rFonts w:ascii="Arial" w:hAnsi="Arial" w:cs="Arial"/>
                <w:color w:val="000000"/>
              </w:rPr>
              <w:t>,</w:t>
            </w:r>
            <w:r w:rsidRPr="000067B8">
              <w:rPr>
                <w:rFonts w:ascii="Arial" w:hAnsi="Arial" w:cs="Arial"/>
                <w:color w:val="000000"/>
              </w:rPr>
              <w:t>0%</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5A12F6BA" w14:textId="6F2D861E"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522</w:t>
            </w:r>
            <w:r w:rsidR="00F547CC">
              <w:rPr>
                <w:rFonts w:ascii="Arial" w:hAnsi="Arial" w:cs="Arial"/>
                <w:color w:val="000000"/>
              </w:rPr>
              <w:t>,</w:t>
            </w:r>
            <w:r w:rsidRPr="000067B8">
              <w:rPr>
                <w:rFonts w:ascii="Arial" w:hAnsi="Arial" w:cs="Arial"/>
                <w:color w:val="000000"/>
              </w:rPr>
              <w:t>5</w:t>
            </w:r>
          </w:p>
        </w:tc>
        <w:tc>
          <w:tcPr>
            <w:tcW w:w="1174" w:type="dxa"/>
            <w:tcBorders>
              <w:top w:val="nil"/>
              <w:left w:val="nil"/>
              <w:bottom w:val="nil"/>
              <w:right w:val="nil"/>
            </w:tcBorders>
            <w:shd w:val="clear" w:color="auto" w:fill="F2F2F2" w:themeFill="background1" w:themeFillShade="F2"/>
            <w:vAlign w:val="center"/>
          </w:tcPr>
          <w:p w14:paraId="24901E3B" w14:textId="697F155D"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543</w:t>
            </w:r>
            <w:r w:rsidR="00F547CC">
              <w:rPr>
                <w:rFonts w:ascii="Arial" w:hAnsi="Arial" w:cs="Arial"/>
                <w:color w:val="000000"/>
              </w:rPr>
              <w:t>,</w:t>
            </w:r>
            <w:r w:rsidRPr="000067B8">
              <w:rPr>
                <w:rFonts w:ascii="Arial" w:hAnsi="Arial" w:cs="Arial"/>
                <w:color w:val="000000"/>
              </w:rPr>
              <w:t>5</w:t>
            </w:r>
          </w:p>
        </w:tc>
        <w:tc>
          <w:tcPr>
            <w:tcW w:w="1174" w:type="dxa"/>
            <w:tcBorders>
              <w:top w:val="nil"/>
              <w:left w:val="nil"/>
              <w:bottom w:val="nil"/>
              <w:right w:val="nil"/>
            </w:tcBorders>
            <w:shd w:val="clear" w:color="auto" w:fill="F2F2F2" w:themeFill="background1" w:themeFillShade="F2"/>
            <w:vAlign w:val="center"/>
          </w:tcPr>
          <w:p w14:paraId="47E47D0C" w14:textId="42AD4EE3"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9%</w:t>
            </w:r>
          </w:p>
        </w:tc>
      </w:tr>
      <w:tr w:rsidR="00D310AA" w:rsidRPr="002E09A8" w14:paraId="010CE836" w14:textId="77777777" w:rsidTr="00800FD4">
        <w:trPr>
          <w:trHeight w:val="293"/>
        </w:trPr>
        <w:tc>
          <w:tcPr>
            <w:tcW w:w="3568" w:type="dxa"/>
            <w:tcBorders>
              <w:top w:val="nil"/>
              <w:bottom w:val="nil"/>
              <w:right w:val="single" w:sz="2" w:space="0" w:color="808080" w:themeColor="background1" w:themeShade="80"/>
            </w:tcBorders>
            <w:shd w:val="clear" w:color="auto" w:fill="FFFFFF" w:themeFill="background1"/>
            <w:vAlign w:val="center"/>
          </w:tcPr>
          <w:p w14:paraId="6B976370" w14:textId="6AFD7077" w:rsidR="00D310AA" w:rsidRPr="00800FD4" w:rsidRDefault="00D310AA" w:rsidP="00D310AA">
            <w:pPr>
              <w:pStyle w:val="ColorfulList-Accent11"/>
              <w:tabs>
                <w:tab w:val="left" w:pos="0"/>
                <w:tab w:val="left" w:pos="284"/>
              </w:tabs>
              <w:ind w:left="0" w:right="-90"/>
              <w:rPr>
                <w:rFonts w:ascii="Arial" w:hAnsi="Arial" w:cs="Arial"/>
                <w:color w:val="000000" w:themeColor="text1"/>
              </w:rPr>
            </w:pPr>
            <w:r w:rsidRPr="00800FD4">
              <w:rPr>
                <w:rFonts w:ascii="Arial" w:hAnsi="Arial" w:cs="Arial"/>
              </w:rPr>
              <w:t>Ταμειακά Διαθέσιμα &amp;Ταμειακά Ισοδύναμα</w:t>
            </w:r>
            <w:r w:rsidRPr="00800FD4" w:rsidDel="00FA3E72">
              <w:rPr>
                <w:rFonts w:ascii="Arial" w:hAnsi="Arial" w:cs="Arial"/>
              </w:rPr>
              <w:t xml:space="preserve">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29CEBF97" w14:textId="708A312F"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467</w:t>
            </w:r>
            <w:r w:rsidR="00F547CC" w:rsidRPr="00800FD4">
              <w:rPr>
                <w:rFonts w:ascii="Arial" w:hAnsi="Arial" w:cs="Arial"/>
              </w:rPr>
              <w:t>,</w:t>
            </w:r>
            <w:r w:rsidRPr="00800FD4">
              <w:rPr>
                <w:rFonts w:ascii="Arial" w:hAnsi="Arial" w:cs="Arial"/>
              </w:rPr>
              <w:t>0</w:t>
            </w:r>
          </w:p>
        </w:tc>
        <w:tc>
          <w:tcPr>
            <w:tcW w:w="1171" w:type="dxa"/>
            <w:tcBorders>
              <w:top w:val="nil"/>
              <w:left w:val="nil"/>
              <w:bottom w:val="nil"/>
              <w:right w:val="nil"/>
            </w:tcBorders>
            <w:shd w:val="clear" w:color="auto" w:fill="FFFFFF" w:themeFill="background1"/>
            <w:vAlign w:val="center"/>
          </w:tcPr>
          <w:p w14:paraId="7B98E017" w14:textId="5AEBA1EB"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463</w:t>
            </w:r>
            <w:r w:rsidR="00F547CC" w:rsidRPr="00800FD4">
              <w:rPr>
                <w:rFonts w:ascii="Arial" w:hAnsi="Arial" w:cs="Arial"/>
              </w:rPr>
              <w:t>,</w:t>
            </w:r>
            <w:r w:rsidRPr="00800FD4">
              <w:rPr>
                <w:rFonts w:ascii="Arial" w:hAnsi="Arial" w:cs="Arial"/>
              </w:rPr>
              <w:t>9</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32D9C333" w14:textId="172E9C67"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+0</w:t>
            </w:r>
            <w:r w:rsidR="00F547CC" w:rsidRPr="00800FD4">
              <w:rPr>
                <w:rFonts w:ascii="Arial" w:hAnsi="Arial" w:cs="Arial"/>
              </w:rPr>
              <w:t>,</w:t>
            </w:r>
            <w:r w:rsidRPr="00800FD4">
              <w:rPr>
                <w:rFonts w:ascii="Arial" w:hAnsi="Arial" w:cs="Arial"/>
              </w:rPr>
              <w:t>7%</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67224448" w14:textId="21634270"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467</w:t>
            </w:r>
            <w:r w:rsidR="00F547CC" w:rsidRPr="00800FD4">
              <w:rPr>
                <w:rFonts w:ascii="Arial" w:hAnsi="Arial" w:cs="Arial"/>
              </w:rPr>
              <w:t>,</w:t>
            </w:r>
            <w:r w:rsidRPr="00800FD4">
              <w:rPr>
                <w:rFonts w:ascii="Arial" w:hAnsi="Arial" w:cs="Arial"/>
              </w:rPr>
              <w:t>0</w:t>
            </w:r>
          </w:p>
        </w:tc>
        <w:tc>
          <w:tcPr>
            <w:tcW w:w="1174" w:type="dxa"/>
            <w:tcBorders>
              <w:top w:val="nil"/>
              <w:left w:val="nil"/>
              <w:bottom w:val="nil"/>
              <w:right w:val="nil"/>
            </w:tcBorders>
            <w:shd w:val="clear" w:color="auto" w:fill="FFFFFF" w:themeFill="background1"/>
            <w:vAlign w:val="center"/>
          </w:tcPr>
          <w:p w14:paraId="28A2664F" w14:textId="117DFF12"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463</w:t>
            </w:r>
            <w:r w:rsidR="00F547CC" w:rsidRPr="00800FD4">
              <w:rPr>
                <w:rFonts w:ascii="Arial" w:hAnsi="Arial" w:cs="Arial"/>
              </w:rPr>
              <w:t>,</w:t>
            </w:r>
            <w:r w:rsidRPr="00800FD4">
              <w:rPr>
                <w:rFonts w:ascii="Arial" w:hAnsi="Arial" w:cs="Arial"/>
              </w:rPr>
              <w:t>9</w:t>
            </w:r>
          </w:p>
        </w:tc>
        <w:tc>
          <w:tcPr>
            <w:tcW w:w="1174" w:type="dxa"/>
            <w:tcBorders>
              <w:top w:val="nil"/>
              <w:left w:val="nil"/>
              <w:bottom w:val="nil"/>
              <w:right w:val="nil"/>
            </w:tcBorders>
            <w:shd w:val="clear" w:color="auto" w:fill="FFFFFF" w:themeFill="background1"/>
            <w:vAlign w:val="center"/>
          </w:tcPr>
          <w:p w14:paraId="793BAA9B" w14:textId="3D7213AC"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+0</w:t>
            </w:r>
            <w:r w:rsidR="00F547CC" w:rsidRPr="00800FD4">
              <w:rPr>
                <w:rFonts w:ascii="Arial" w:hAnsi="Arial" w:cs="Arial"/>
              </w:rPr>
              <w:t>,</w:t>
            </w:r>
            <w:r w:rsidRPr="00800FD4">
              <w:rPr>
                <w:rFonts w:ascii="Arial" w:hAnsi="Arial" w:cs="Arial"/>
              </w:rPr>
              <w:t>7%</w:t>
            </w:r>
          </w:p>
        </w:tc>
      </w:tr>
      <w:tr w:rsidR="00D310AA" w:rsidRPr="002E09A8" w14:paraId="3AD78306" w14:textId="77777777" w:rsidTr="00800FD4">
        <w:trPr>
          <w:trHeight w:val="293"/>
        </w:trPr>
        <w:tc>
          <w:tcPr>
            <w:tcW w:w="3568" w:type="dxa"/>
            <w:tcBorders>
              <w:top w:val="nil"/>
              <w:bottom w:val="single" w:sz="4" w:space="0" w:color="808080" w:themeColor="background1" w:themeShade="80"/>
              <w:right w:val="single" w:sz="2" w:space="0" w:color="808080" w:themeColor="background1" w:themeShade="80"/>
            </w:tcBorders>
            <w:shd w:val="clear" w:color="auto" w:fill="F2F2F2" w:themeFill="background1" w:themeFillShade="F2"/>
            <w:vAlign w:val="center"/>
          </w:tcPr>
          <w:p w14:paraId="6735024F" w14:textId="35EC4173" w:rsidR="00D310AA" w:rsidRPr="003629D3" w:rsidRDefault="00D310AA" w:rsidP="00D310AA">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Καθαρός δανεισμός</w:t>
            </w:r>
          </w:p>
        </w:tc>
        <w:tc>
          <w:tcPr>
            <w:tcW w:w="1171" w:type="dxa"/>
            <w:tcBorders>
              <w:top w:val="nil"/>
              <w:left w:val="single" w:sz="2"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77A66E5C" w14:textId="59847549"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643</w:t>
            </w:r>
            <w:r w:rsidR="00F547CC">
              <w:rPr>
                <w:rFonts w:ascii="Arial" w:hAnsi="Arial" w:cs="Arial"/>
                <w:color w:val="000000"/>
              </w:rPr>
              <w:t>,</w:t>
            </w:r>
            <w:r w:rsidRPr="000067B8">
              <w:rPr>
                <w:rFonts w:ascii="Arial" w:hAnsi="Arial" w:cs="Arial"/>
                <w:color w:val="000000"/>
              </w:rPr>
              <w:t>4</w:t>
            </w:r>
          </w:p>
        </w:tc>
        <w:tc>
          <w:tcPr>
            <w:tcW w:w="1171" w:type="dxa"/>
            <w:tcBorders>
              <w:top w:val="nil"/>
              <w:left w:val="nil"/>
              <w:bottom w:val="single" w:sz="4" w:space="0" w:color="808080" w:themeColor="background1" w:themeShade="80"/>
              <w:right w:val="nil"/>
            </w:tcBorders>
            <w:shd w:val="clear" w:color="auto" w:fill="F2F2F2" w:themeFill="background1" w:themeFillShade="F2"/>
            <w:vAlign w:val="center"/>
          </w:tcPr>
          <w:p w14:paraId="46E4A6AC" w14:textId="5B9FBD20"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634</w:t>
            </w:r>
            <w:r w:rsidR="00F547CC">
              <w:rPr>
                <w:rFonts w:ascii="Arial" w:hAnsi="Arial" w:cs="Arial"/>
                <w:color w:val="000000"/>
              </w:rPr>
              <w:t>,</w:t>
            </w:r>
            <w:r w:rsidRPr="000067B8">
              <w:rPr>
                <w:rFonts w:ascii="Arial" w:hAnsi="Arial" w:cs="Arial"/>
                <w:color w:val="000000"/>
              </w:rPr>
              <w:t>8</w:t>
            </w:r>
          </w:p>
        </w:tc>
        <w:tc>
          <w:tcPr>
            <w:tcW w:w="1174" w:type="dxa"/>
            <w:tcBorders>
              <w:top w:val="nil"/>
              <w:left w:val="nil"/>
              <w:bottom w:val="single" w:sz="4" w:space="0" w:color="808080" w:themeColor="background1" w:themeShade="80"/>
              <w:right w:val="single" w:sz="2" w:space="0" w:color="808080" w:themeColor="background1" w:themeShade="80"/>
            </w:tcBorders>
            <w:shd w:val="clear" w:color="auto" w:fill="F2F2F2" w:themeFill="background1" w:themeFillShade="F2"/>
            <w:vAlign w:val="center"/>
          </w:tcPr>
          <w:p w14:paraId="4CDAFA03" w14:textId="708CC1D0"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4%</w:t>
            </w:r>
          </w:p>
        </w:tc>
        <w:tc>
          <w:tcPr>
            <w:tcW w:w="1174" w:type="dxa"/>
            <w:tcBorders>
              <w:top w:val="nil"/>
              <w:left w:val="single" w:sz="2"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07B623A7" w14:textId="50FFD44B"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643</w:t>
            </w:r>
            <w:r w:rsidR="00F547CC">
              <w:rPr>
                <w:rFonts w:ascii="Arial" w:hAnsi="Arial" w:cs="Arial"/>
                <w:color w:val="000000"/>
              </w:rPr>
              <w:t>,</w:t>
            </w:r>
            <w:r w:rsidRPr="000067B8">
              <w:rPr>
                <w:rFonts w:ascii="Arial" w:hAnsi="Arial" w:cs="Arial"/>
                <w:color w:val="000000"/>
              </w:rPr>
              <w:t>4</w:t>
            </w:r>
          </w:p>
        </w:tc>
        <w:tc>
          <w:tcPr>
            <w:tcW w:w="1174" w:type="dxa"/>
            <w:tcBorders>
              <w:top w:val="nil"/>
              <w:left w:val="nil"/>
              <w:bottom w:val="single" w:sz="4" w:space="0" w:color="808080" w:themeColor="background1" w:themeShade="80"/>
              <w:right w:val="nil"/>
            </w:tcBorders>
            <w:shd w:val="clear" w:color="auto" w:fill="F2F2F2" w:themeFill="background1" w:themeFillShade="F2"/>
            <w:vAlign w:val="center"/>
          </w:tcPr>
          <w:p w14:paraId="718279FC" w14:textId="2C59789F"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634</w:t>
            </w:r>
            <w:r w:rsidR="00F547CC">
              <w:rPr>
                <w:rFonts w:ascii="Arial" w:hAnsi="Arial" w:cs="Arial"/>
                <w:color w:val="000000"/>
              </w:rPr>
              <w:t>,</w:t>
            </w:r>
            <w:r w:rsidRPr="000067B8">
              <w:rPr>
                <w:rFonts w:ascii="Arial" w:hAnsi="Arial" w:cs="Arial"/>
                <w:color w:val="000000"/>
              </w:rPr>
              <w:t>8</w:t>
            </w:r>
          </w:p>
        </w:tc>
        <w:tc>
          <w:tcPr>
            <w:tcW w:w="1174" w:type="dxa"/>
            <w:tcBorders>
              <w:top w:val="nil"/>
              <w:left w:val="nil"/>
              <w:bottom w:val="single" w:sz="4" w:space="0" w:color="808080" w:themeColor="background1" w:themeShade="80"/>
              <w:right w:val="nil"/>
            </w:tcBorders>
            <w:shd w:val="clear" w:color="auto" w:fill="F2F2F2" w:themeFill="background1" w:themeFillShade="F2"/>
            <w:vAlign w:val="center"/>
          </w:tcPr>
          <w:p w14:paraId="358E9ADB" w14:textId="4D2D8DF6"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4%</w:t>
            </w:r>
          </w:p>
        </w:tc>
      </w:tr>
    </w:tbl>
    <w:p w14:paraId="171F754D" w14:textId="77777777" w:rsidR="006211BB" w:rsidRPr="00A7639D" w:rsidRDefault="006211BB" w:rsidP="006211BB">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lang w:val="el-GR"/>
          </w:rPr>
          <w:t>Ενότητα Εναλλακτικοί Δείκτες Μέτρησης Απόδοσης</w:t>
        </w:r>
      </w:hyperlink>
      <w:r w:rsidRPr="00A7639D">
        <w:rPr>
          <w:rFonts w:ascii="Arial" w:hAnsi="Arial" w:cs="Arial"/>
          <w:i/>
          <w:sz w:val="14"/>
          <w:szCs w:val="14"/>
          <w:lang w:val="el-GR"/>
        </w:rPr>
        <w:t>.</w:t>
      </w:r>
    </w:p>
    <w:p w14:paraId="3036CFFF" w14:textId="77777777" w:rsidR="003629D3" w:rsidRPr="006211BB" w:rsidRDefault="003629D3" w:rsidP="00B8173B">
      <w:pPr>
        <w:tabs>
          <w:tab w:val="left" w:pos="1653"/>
        </w:tabs>
        <w:rPr>
          <w:rFonts w:ascii="Arial" w:hAnsi="Arial" w:cs="Arial"/>
          <w:b/>
        </w:rPr>
      </w:pPr>
    </w:p>
    <w:p w14:paraId="5FB966E4" w14:textId="44E1901A" w:rsidR="00496E96" w:rsidRPr="00F93731" w:rsidRDefault="009E285A" w:rsidP="00926FF4">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w:t>
      </w:r>
      <w:r w:rsidR="00A77437">
        <w:rPr>
          <w:rFonts w:ascii="Arial" w:eastAsia="Times New Roman" w:hAnsi="Arial" w:cs="Arial"/>
          <w:b/>
          <w:szCs w:val="20"/>
        </w:rPr>
        <w:t>Κώστα Νεμπή</w:t>
      </w:r>
      <w:r w:rsidRPr="00F93731">
        <w:rPr>
          <w:rFonts w:ascii="Arial" w:eastAsia="Times New Roman" w:hAnsi="Arial" w:cs="Arial"/>
          <w:b/>
          <w:szCs w:val="20"/>
        </w:rPr>
        <w:t>:</w:t>
      </w:r>
    </w:p>
    <w:p w14:paraId="2D64CE7D" w14:textId="3AF02536" w:rsidR="00533092" w:rsidRPr="00C7005D" w:rsidRDefault="00E776E1" w:rsidP="00B801B5">
      <w:pPr>
        <w:spacing w:line="280" w:lineRule="exact"/>
        <w:jc w:val="both"/>
        <w:rPr>
          <w:rFonts w:ascii="Arial" w:hAnsi="Arial" w:cs="Arial"/>
        </w:rPr>
      </w:pPr>
      <w:bookmarkStart w:id="0" w:name="_Hlk182228947"/>
      <w:r w:rsidRPr="00C7005D">
        <w:rPr>
          <w:rFonts w:ascii="Arial" w:hAnsi="Arial" w:cs="Arial"/>
        </w:rPr>
        <w:t>«</w:t>
      </w:r>
      <w:bookmarkStart w:id="1" w:name="_Hlk182228019"/>
      <w:r w:rsidR="00533092" w:rsidRPr="00C7005D">
        <w:rPr>
          <w:rFonts w:ascii="Arial" w:hAnsi="Arial" w:cs="Arial"/>
        </w:rPr>
        <w:t>Το 2024</w:t>
      </w:r>
      <w:r w:rsidR="00385B03" w:rsidRPr="00C7005D">
        <w:rPr>
          <w:rFonts w:ascii="Arial" w:hAnsi="Arial" w:cs="Arial"/>
        </w:rPr>
        <w:t xml:space="preserve"> </w:t>
      </w:r>
      <w:r w:rsidR="00533092" w:rsidRPr="00C7005D">
        <w:rPr>
          <w:rFonts w:ascii="Arial" w:hAnsi="Arial" w:cs="Arial"/>
        </w:rPr>
        <w:t xml:space="preserve">πετύχαμε τους στόχους μας, </w:t>
      </w:r>
      <w:r w:rsidR="000D677C" w:rsidRPr="00C7005D">
        <w:rPr>
          <w:rFonts w:ascii="Arial" w:hAnsi="Arial" w:cs="Arial"/>
        </w:rPr>
        <w:t xml:space="preserve">καταγράφοντας </w:t>
      </w:r>
      <w:r w:rsidR="00533092" w:rsidRPr="00C7005D">
        <w:rPr>
          <w:rFonts w:ascii="Arial" w:hAnsi="Arial" w:cs="Arial"/>
        </w:rPr>
        <w:t xml:space="preserve">ισχυρές λειτουργικές και οικονομικές επιδόσεις στην Ελλάδα. </w:t>
      </w:r>
      <w:r w:rsidR="000D677C" w:rsidRPr="00C7005D">
        <w:rPr>
          <w:rFonts w:ascii="Arial" w:hAnsi="Arial" w:cs="Arial"/>
        </w:rPr>
        <w:t xml:space="preserve">Αυξήσαμε τα έσοδά μας κατά 4,5%, και την προσαρμοσμένη λειτουργική μας κερδοφορία </w:t>
      </w:r>
      <w:r w:rsidR="004B4D43" w:rsidRPr="00C7005D">
        <w:rPr>
          <w:rFonts w:ascii="Arial" w:hAnsi="Arial" w:cs="Arial"/>
        </w:rPr>
        <w:t xml:space="preserve">κατά </w:t>
      </w:r>
      <w:r w:rsidR="00533092" w:rsidRPr="00C7005D">
        <w:rPr>
          <w:rFonts w:ascii="Arial" w:hAnsi="Arial" w:cs="Arial"/>
        </w:rPr>
        <w:t xml:space="preserve">1,6%, κυρίως </w:t>
      </w:r>
      <w:r w:rsidR="000D677C" w:rsidRPr="00C7005D">
        <w:rPr>
          <w:rFonts w:ascii="Arial" w:hAnsi="Arial" w:cs="Arial"/>
        </w:rPr>
        <w:t xml:space="preserve">χάρη στις </w:t>
      </w:r>
      <w:r w:rsidR="00F26385" w:rsidRPr="00C7005D">
        <w:rPr>
          <w:rFonts w:ascii="Arial" w:hAnsi="Arial" w:cs="Arial"/>
        </w:rPr>
        <w:t>ισχυρ</w:t>
      </w:r>
      <w:r w:rsidR="000D677C" w:rsidRPr="00C7005D">
        <w:rPr>
          <w:rFonts w:ascii="Arial" w:hAnsi="Arial" w:cs="Arial"/>
        </w:rPr>
        <w:t>ές</w:t>
      </w:r>
      <w:r w:rsidR="00F26385" w:rsidRPr="00C7005D">
        <w:rPr>
          <w:rFonts w:ascii="Arial" w:hAnsi="Arial" w:cs="Arial"/>
        </w:rPr>
        <w:t xml:space="preserve"> επιδόσε</w:t>
      </w:r>
      <w:r w:rsidR="000D677C" w:rsidRPr="00C7005D">
        <w:rPr>
          <w:rFonts w:ascii="Arial" w:hAnsi="Arial" w:cs="Arial"/>
        </w:rPr>
        <w:t>ις</w:t>
      </w:r>
      <w:r w:rsidR="00F26385" w:rsidRPr="00C7005D">
        <w:rPr>
          <w:rFonts w:ascii="Arial" w:hAnsi="Arial" w:cs="Arial"/>
        </w:rPr>
        <w:t xml:space="preserve"> στην</w:t>
      </w:r>
      <w:r w:rsidR="00533092" w:rsidRPr="00C7005D">
        <w:rPr>
          <w:rFonts w:ascii="Arial" w:hAnsi="Arial" w:cs="Arial"/>
        </w:rPr>
        <w:t xml:space="preserve"> κινητή</w:t>
      </w:r>
      <w:r w:rsidR="00F26385" w:rsidRPr="00C7005D">
        <w:rPr>
          <w:rFonts w:ascii="Arial" w:hAnsi="Arial" w:cs="Arial"/>
        </w:rPr>
        <w:t xml:space="preserve">, την τηλεόραση και το </w:t>
      </w:r>
      <w:r w:rsidR="00F26385" w:rsidRPr="00B801B5">
        <w:rPr>
          <w:rFonts w:ascii="Arial" w:hAnsi="Arial" w:cs="Arial"/>
        </w:rPr>
        <w:t>ICT</w:t>
      </w:r>
      <w:r w:rsidR="00F26385" w:rsidRPr="00C7005D">
        <w:rPr>
          <w:rFonts w:ascii="Arial" w:hAnsi="Arial" w:cs="Arial"/>
        </w:rPr>
        <w:t>.</w:t>
      </w:r>
      <w:r w:rsidR="002174F2" w:rsidRPr="00C7005D">
        <w:rPr>
          <w:rFonts w:ascii="Arial" w:hAnsi="Arial" w:cs="Arial"/>
        </w:rPr>
        <w:t xml:space="preserve"> </w:t>
      </w:r>
      <w:r w:rsidR="00832161" w:rsidRPr="00C7005D">
        <w:rPr>
          <w:rFonts w:ascii="Arial" w:hAnsi="Arial" w:cs="Arial"/>
        </w:rPr>
        <w:t xml:space="preserve">Ο ΟΤΕ συνέχισε να εδραιώνει την ηγετική του θέση </w:t>
      </w:r>
      <w:r w:rsidR="00AA14A9" w:rsidRPr="00C7005D">
        <w:rPr>
          <w:rFonts w:ascii="Arial" w:hAnsi="Arial" w:cs="Arial"/>
        </w:rPr>
        <w:t>επενδύοντας σε κορυφαία δίκτυα. Στη σταθερή</w:t>
      </w:r>
      <w:r w:rsidR="00385B03" w:rsidRPr="00C7005D">
        <w:rPr>
          <w:rFonts w:ascii="Arial" w:hAnsi="Arial" w:cs="Arial"/>
        </w:rPr>
        <w:t>,</w:t>
      </w:r>
      <w:r w:rsidR="00AA14A9" w:rsidRPr="00C7005D">
        <w:rPr>
          <w:rFonts w:ascii="Arial" w:hAnsi="Arial" w:cs="Arial"/>
        </w:rPr>
        <w:t xml:space="preserve"> </w:t>
      </w:r>
      <w:r w:rsidR="00C433F1" w:rsidRPr="00C7005D">
        <w:rPr>
          <w:rFonts w:ascii="Arial" w:hAnsi="Arial" w:cs="Arial"/>
        </w:rPr>
        <w:t>το</w:t>
      </w:r>
      <w:r w:rsidR="002F0632" w:rsidRPr="00C7005D">
        <w:rPr>
          <w:rFonts w:ascii="Arial" w:hAnsi="Arial" w:cs="Arial"/>
        </w:rPr>
        <w:t xml:space="preserve"> δίκτυο </w:t>
      </w:r>
      <w:r w:rsidR="002F0632" w:rsidRPr="00B801B5">
        <w:rPr>
          <w:rFonts w:ascii="Arial" w:hAnsi="Arial" w:cs="Arial"/>
        </w:rPr>
        <w:t>FTTH</w:t>
      </w:r>
      <w:r w:rsidR="002F0632" w:rsidRPr="00C7005D">
        <w:rPr>
          <w:rFonts w:ascii="Arial" w:hAnsi="Arial" w:cs="Arial"/>
        </w:rPr>
        <w:t xml:space="preserve"> </w:t>
      </w:r>
      <w:r w:rsidR="00C433F1" w:rsidRPr="00C7005D">
        <w:rPr>
          <w:rFonts w:ascii="Arial" w:hAnsi="Arial" w:cs="Arial"/>
        </w:rPr>
        <w:t>επεκτάθηκε</w:t>
      </w:r>
      <w:r w:rsidR="000D677C" w:rsidRPr="00C7005D">
        <w:rPr>
          <w:rFonts w:ascii="Arial" w:hAnsi="Arial" w:cs="Arial"/>
        </w:rPr>
        <w:t xml:space="preserve"> περαιτέρω,</w:t>
      </w:r>
      <w:r w:rsidR="00C433F1" w:rsidRPr="00C7005D">
        <w:rPr>
          <w:rFonts w:ascii="Arial" w:hAnsi="Arial" w:cs="Arial"/>
        </w:rPr>
        <w:t xml:space="preserve"> </w:t>
      </w:r>
      <w:r w:rsidR="000D677C" w:rsidRPr="00C7005D">
        <w:rPr>
          <w:rFonts w:ascii="Arial" w:hAnsi="Arial" w:cs="Arial"/>
        </w:rPr>
        <w:t xml:space="preserve">φτάνοντας </w:t>
      </w:r>
      <w:r w:rsidR="002F0632" w:rsidRPr="00C7005D">
        <w:rPr>
          <w:rFonts w:ascii="Arial" w:hAnsi="Arial" w:cs="Arial"/>
        </w:rPr>
        <w:t>σε 1,7 εκατομμύρια σπίτια και επιχειρήσεις</w:t>
      </w:r>
      <w:r w:rsidR="001F494A" w:rsidRPr="00C7005D">
        <w:rPr>
          <w:rFonts w:ascii="Arial" w:hAnsi="Arial" w:cs="Arial"/>
        </w:rPr>
        <w:t xml:space="preserve">, καθώς συνεχίζουμε απρόσκοπτα την υλοποίηση </w:t>
      </w:r>
      <w:r w:rsidR="001F494A" w:rsidRPr="00B801B5">
        <w:rPr>
          <w:rFonts w:ascii="Arial" w:hAnsi="Arial" w:cs="Arial"/>
        </w:rPr>
        <w:t>FTTH</w:t>
      </w:r>
      <w:r w:rsidR="001F494A" w:rsidRPr="00C7005D">
        <w:rPr>
          <w:rFonts w:ascii="Arial" w:hAnsi="Arial" w:cs="Arial"/>
        </w:rPr>
        <w:t xml:space="preserve"> προσφέροντας στους πελάτες μας κορυφαία εμπειρία συνδεσιμότητας</w:t>
      </w:r>
      <w:r w:rsidR="002F0632" w:rsidRPr="00C7005D">
        <w:rPr>
          <w:rFonts w:ascii="Arial" w:hAnsi="Arial" w:cs="Arial"/>
        </w:rPr>
        <w:t>.</w:t>
      </w:r>
      <w:r w:rsidR="002707A0" w:rsidRPr="00C7005D">
        <w:rPr>
          <w:rFonts w:ascii="Arial" w:hAnsi="Arial" w:cs="Arial"/>
        </w:rPr>
        <w:t xml:space="preserve"> Στην κινητή</w:t>
      </w:r>
      <w:r w:rsidR="000D677C" w:rsidRPr="00C7005D">
        <w:rPr>
          <w:rFonts w:ascii="Arial" w:hAnsi="Arial" w:cs="Arial"/>
        </w:rPr>
        <w:t>,</w:t>
      </w:r>
      <w:r w:rsidR="002707A0" w:rsidRPr="00C7005D">
        <w:rPr>
          <w:rFonts w:ascii="Arial" w:hAnsi="Arial" w:cs="Arial"/>
        </w:rPr>
        <w:t xml:space="preserve"> διατηρήσαμε το ανταγωνιστικό μας πλεονέκτημα, καθώς η πληθυσμιακή κάλυψη του</w:t>
      </w:r>
      <w:hyperlink r:id="rId12" w:history="1">
        <w:r w:rsidR="002707A0" w:rsidRPr="00C7005D">
          <w:rPr>
            <w:rFonts w:ascii="Arial" w:hAnsi="Arial" w:cs="Arial"/>
          </w:rPr>
          <w:t xml:space="preserve"> δικτύου 5</w:t>
        </w:r>
        <w:r w:rsidR="002707A0" w:rsidRPr="00B801B5">
          <w:rPr>
            <w:rFonts w:ascii="Arial" w:hAnsi="Arial" w:cs="Arial"/>
          </w:rPr>
          <w:t>G</w:t>
        </w:r>
      </w:hyperlink>
      <w:r w:rsidR="002707A0" w:rsidRPr="00C7005D">
        <w:rPr>
          <w:rFonts w:ascii="Arial" w:hAnsi="Arial" w:cs="Arial"/>
        </w:rPr>
        <w:t xml:space="preserve"> ξεπέρασε το 99%</w:t>
      </w:r>
      <w:r w:rsidR="000D677C" w:rsidRPr="00C7005D">
        <w:rPr>
          <w:rFonts w:ascii="Arial" w:hAnsi="Arial" w:cs="Arial"/>
        </w:rPr>
        <w:t>. Το</w:t>
      </w:r>
      <w:r w:rsidR="002707A0" w:rsidRPr="00C7005D">
        <w:rPr>
          <w:rFonts w:ascii="Arial" w:hAnsi="Arial" w:cs="Arial"/>
        </w:rPr>
        <w:t xml:space="preserve"> δίκτυ</w:t>
      </w:r>
      <w:r w:rsidR="000D677C" w:rsidRPr="00C7005D">
        <w:rPr>
          <w:rFonts w:ascii="Arial" w:hAnsi="Arial" w:cs="Arial"/>
        </w:rPr>
        <w:t>ό</w:t>
      </w:r>
      <w:r w:rsidR="002707A0" w:rsidRPr="00C7005D">
        <w:rPr>
          <w:rFonts w:ascii="Arial" w:hAnsi="Arial" w:cs="Arial"/>
        </w:rPr>
        <w:t xml:space="preserve"> </w:t>
      </w:r>
      <w:r w:rsidR="000D677C" w:rsidRPr="00C7005D">
        <w:rPr>
          <w:rFonts w:ascii="Arial" w:hAnsi="Arial" w:cs="Arial"/>
        </w:rPr>
        <w:t>μας είναι</w:t>
      </w:r>
      <w:r w:rsidR="002707A0" w:rsidRPr="00C7005D">
        <w:rPr>
          <w:rFonts w:ascii="Arial" w:hAnsi="Arial" w:cs="Arial"/>
        </w:rPr>
        <w:t xml:space="preserve"> ένα από τα </w:t>
      </w:r>
      <w:r w:rsidR="00172B18" w:rsidRPr="00C7005D">
        <w:rPr>
          <w:rFonts w:ascii="Arial" w:hAnsi="Arial" w:cs="Arial"/>
        </w:rPr>
        <w:t>μόλις</w:t>
      </w:r>
      <w:r w:rsidR="002707A0" w:rsidRPr="00C7005D">
        <w:rPr>
          <w:rFonts w:ascii="Arial" w:hAnsi="Arial" w:cs="Arial"/>
        </w:rPr>
        <w:t xml:space="preserve"> </w:t>
      </w:r>
      <w:r w:rsidR="002570B6" w:rsidRPr="00C7005D">
        <w:rPr>
          <w:rFonts w:ascii="Arial" w:hAnsi="Arial" w:cs="Arial"/>
        </w:rPr>
        <w:t xml:space="preserve">τρία δίκτυα κινητής </w:t>
      </w:r>
      <w:r w:rsidR="00172B18" w:rsidRPr="00C7005D">
        <w:rPr>
          <w:rFonts w:ascii="Arial" w:hAnsi="Arial" w:cs="Arial"/>
        </w:rPr>
        <w:t>παγκοσμίως</w:t>
      </w:r>
      <w:r w:rsidR="002570B6" w:rsidRPr="00C7005D">
        <w:rPr>
          <w:rFonts w:ascii="Arial" w:hAnsi="Arial" w:cs="Arial"/>
        </w:rPr>
        <w:t xml:space="preserve"> </w:t>
      </w:r>
      <w:r w:rsidR="00172B18" w:rsidRPr="00C7005D">
        <w:rPr>
          <w:rFonts w:ascii="Arial" w:hAnsi="Arial" w:cs="Arial"/>
        </w:rPr>
        <w:t>με</w:t>
      </w:r>
      <w:r w:rsidR="002707A0" w:rsidRPr="00C7005D">
        <w:rPr>
          <w:rFonts w:ascii="Arial" w:hAnsi="Arial" w:cs="Arial"/>
        </w:rPr>
        <w:t xml:space="preserve"> πιστοποίηση «</w:t>
      </w:r>
      <w:r w:rsidR="002707A0" w:rsidRPr="00B801B5">
        <w:rPr>
          <w:rFonts w:ascii="Arial" w:hAnsi="Arial" w:cs="Arial"/>
        </w:rPr>
        <w:t>Best</w:t>
      </w:r>
      <w:r w:rsidR="002707A0" w:rsidRPr="00C7005D">
        <w:rPr>
          <w:rFonts w:ascii="Arial" w:hAnsi="Arial" w:cs="Arial"/>
        </w:rPr>
        <w:t xml:space="preserve"> </w:t>
      </w:r>
      <w:r w:rsidR="002707A0" w:rsidRPr="00B801B5">
        <w:rPr>
          <w:rFonts w:ascii="Arial" w:hAnsi="Arial" w:cs="Arial"/>
        </w:rPr>
        <w:t>in</w:t>
      </w:r>
      <w:r w:rsidR="002707A0" w:rsidRPr="00C7005D">
        <w:rPr>
          <w:rFonts w:ascii="Arial" w:hAnsi="Arial" w:cs="Arial"/>
        </w:rPr>
        <w:t xml:space="preserve"> </w:t>
      </w:r>
      <w:r w:rsidR="002707A0" w:rsidRPr="00B801B5">
        <w:rPr>
          <w:rFonts w:ascii="Arial" w:hAnsi="Arial" w:cs="Arial"/>
        </w:rPr>
        <w:t>Test</w:t>
      </w:r>
      <w:r w:rsidR="002707A0" w:rsidRPr="00C7005D">
        <w:rPr>
          <w:rFonts w:ascii="Arial" w:hAnsi="Arial" w:cs="Arial"/>
        </w:rPr>
        <w:t xml:space="preserve">» για δέκατη </w:t>
      </w:r>
      <w:r w:rsidR="002707A0" w:rsidRPr="00C7005D">
        <w:rPr>
          <w:rFonts w:ascii="Arial" w:hAnsi="Arial" w:cs="Arial"/>
        </w:rPr>
        <w:lastRenderedPageBreak/>
        <w:t>συνεχόμενη χρονιά</w:t>
      </w:r>
      <w:r w:rsidR="007157AA" w:rsidRPr="00C7005D">
        <w:rPr>
          <w:rFonts w:ascii="Arial" w:hAnsi="Arial" w:cs="Arial"/>
        </w:rPr>
        <w:t xml:space="preserve">. </w:t>
      </w:r>
      <w:r w:rsidR="000D677C" w:rsidRPr="00C7005D">
        <w:rPr>
          <w:rFonts w:ascii="Arial" w:hAnsi="Arial" w:cs="Arial"/>
        </w:rPr>
        <w:t>Αυτά τα</w:t>
      </w:r>
      <w:r w:rsidR="00926C29" w:rsidRPr="00C7005D">
        <w:rPr>
          <w:rFonts w:ascii="Arial" w:hAnsi="Arial" w:cs="Arial"/>
        </w:rPr>
        <w:t xml:space="preserve"> αποτελέσματα</w:t>
      </w:r>
      <w:r w:rsidR="007157AA" w:rsidRPr="00C7005D">
        <w:rPr>
          <w:rFonts w:ascii="Arial" w:hAnsi="Arial" w:cs="Arial"/>
        </w:rPr>
        <w:t xml:space="preserve"> </w:t>
      </w:r>
      <w:r w:rsidR="00385B03" w:rsidRPr="00C7005D">
        <w:rPr>
          <w:rFonts w:ascii="Arial" w:hAnsi="Arial" w:cs="Arial"/>
        </w:rPr>
        <w:t xml:space="preserve">επιβεβαιώνουν </w:t>
      </w:r>
      <w:r w:rsidR="007157AA" w:rsidRPr="00C7005D">
        <w:rPr>
          <w:rFonts w:ascii="Arial" w:hAnsi="Arial" w:cs="Arial"/>
        </w:rPr>
        <w:t xml:space="preserve">τη δέσμευσή μας </w:t>
      </w:r>
      <w:r w:rsidR="000D677C" w:rsidRPr="00C7005D">
        <w:rPr>
          <w:rFonts w:ascii="Arial" w:hAnsi="Arial" w:cs="Arial"/>
        </w:rPr>
        <w:t xml:space="preserve">να παρέχουμε </w:t>
      </w:r>
      <w:r w:rsidR="00D446D9" w:rsidRPr="00C7005D">
        <w:rPr>
          <w:rFonts w:ascii="Arial" w:hAnsi="Arial" w:cs="Arial"/>
        </w:rPr>
        <w:t>κορυφαία ποιότητα</w:t>
      </w:r>
      <w:r w:rsidR="007157AA" w:rsidRPr="00C7005D">
        <w:rPr>
          <w:rFonts w:ascii="Arial" w:hAnsi="Arial" w:cs="Arial"/>
        </w:rPr>
        <w:t xml:space="preserve"> δικτύου και </w:t>
      </w:r>
      <w:r w:rsidR="00181D76" w:rsidRPr="00C7005D">
        <w:rPr>
          <w:rFonts w:ascii="Arial" w:hAnsi="Arial" w:cs="Arial"/>
        </w:rPr>
        <w:t xml:space="preserve">άριστη </w:t>
      </w:r>
      <w:r w:rsidR="007157AA" w:rsidRPr="00C7005D">
        <w:rPr>
          <w:rFonts w:ascii="Arial" w:hAnsi="Arial" w:cs="Arial"/>
        </w:rPr>
        <w:t>εμπειρία πελάτη.</w:t>
      </w:r>
    </w:p>
    <w:p w14:paraId="49B8C524" w14:textId="21DD4090" w:rsidR="00533092" w:rsidRPr="00C7005D" w:rsidRDefault="0028272A" w:rsidP="00800FD4">
      <w:pPr>
        <w:spacing w:line="280" w:lineRule="exact"/>
        <w:jc w:val="both"/>
        <w:rPr>
          <w:rFonts w:ascii="Arial" w:hAnsi="Arial" w:cs="Arial"/>
        </w:rPr>
      </w:pPr>
      <w:r w:rsidRPr="00F773F5">
        <w:rPr>
          <w:rFonts w:ascii="Arial" w:hAnsi="Arial" w:cs="Arial"/>
        </w:rPr>
        <w:t xml:space="preserve">Καθώς προχωράμε </w:t>
      </w:r>
      <w:r w:rsidR="000D677C" w:rsidRPr="00F773F5">
        <w:rPr>
          <w:rFonts w:ascii="Arial" w:hAnsi="Arial" w:cs="Arial"/>
        </w:rPr>
        <w:t>στο</w:t>
      </w:r>
      <w:r w:rsidRPr="00F773F5">
        <w:rPr>
          <w:rFonts w:ascii="Arial" w:hAnsi="Arial" w:cs="Arial"/>
        </w:rPr>
        <w:t xml:space="preserve"> </w:t>
      </w:r>
      <w:r w:rsidR="001E6B3A" w:rsidRPr="00F773F5">
        <w:rPr>
          <w:rFonts w:ascii="Arial" w:hAnsi="Arial" w:cs="Arial"/>
        </w:rPr>
        <w:t xml:space="preserve">2025, </w:t>
      </w:r>
      <w:r w:rsidR="000D677C" w:rsidRPr="00F773F5">
        <w:rPr>
          <w:rFonts w:ascii="Arial" w:hAnsi="Arial" w:cs="Arial"/>
        </w:rPr>
        <w:t>συνεχίζουμε να χτίζουμε πάνω στα επιτεύγματά μας</w:t>
      </w:r>
      <w:r w:rsidR="001E6B3A" w:rsidRPr="00F773F5">
        <w:rPr>
          <w:rFonts w:ascii="Arial" w:hAnsi="Arial" w:cs="Arial"/>
        </w:rPr>
        <w:t xml:space="preserve">, στοχεύοντας σε επιτάχυνση </w:t>
      </w:r>
      <w:r w:rsidR="003D621A" w:rsidRPr="00F773F5">
        <w:rPr>
          <w:rFonts w:ascii="Arial" w:hAnsi="Arial" w:cs="Arial"/>
        </w:rPr>
        <w:t>του ρυθμού</w:t>
      </w:r>
      <w:r w:rsidR="001E6B3A" w:rsidRPr="00F773F5">
        <w:rPr>
          <w:rFonts w:ascii="Arial" w:hAnsi="Arial" w:cs="Arial"/>
        </w:rPr>
        <w:t xml:space="preserve"> ανάπτυξ</w:t>
      </w:r>
      <w:r w:rsidR="00936C40">
        <w:rPr>
          <w:rFonts w:ascii="Arial" w:hAnsi="Arial" w:cs="Arial"/>
        </w:rPr>
        <w:t>ή</w:t>
      </w:r>
      <w:r w:rsidR="001E6B3A" w:rsidRPr="00F773F5">
        <w:rPr>
          <w:rFonts w:ascii="Arial" w:hAnsi="Arial" w:cs="Arial"/>
        </w:rPr>
        <w:t xml:space="preserve">ς </w:t>
      </w:r>
      <w:r w:rsidR="00C41AAD" w:rsidRPr="00F773F5">
        <w:rPr>
          <w:rFonts w:ascii="Arial" w:hAnsi="Arial" w:cs="Arial"/>
        </w:rPr>
        <w:t>μας</w:t>
      </w:r>
      <w:r w:rsidR="001E6B3A" w:rsidRPr="00F773F5">
        <w:rPr>
          <w:rFonts w:ascii="Arial" w:hAnsi="Arial" w:cs="Arial"/>
        </w:rPr>
        <w:t xml:space="preserve"> τα επόμενα χρόνια.</w:t>
      </w:r>
      <w:r w:rsidR="007976C8" w:rsidRPr="00F773F5">
        <w:rPr>
          <w:rFonts w:ascii="Arial" w:hAnsi="Arial" w:cs="Arial"/>
        </w:rPr>
        <w:t xml:space="preserve"> </w:t>
      </w:r>
      <w:r w:rsidR="007976C8" w:rsidRPr="00C7005D">
        <w:rPr>
          <w:rFonts w:ascii="Arial" w:hAnsi="Arial" w:cs="Arial"/>
        </w:rPr>
        <w:t xml:space="preserve">Έχουμε ένα νέο όραμα για τον ΟΤΕ, να γίνουμε </w:t>
      </w:r>
      <w:r w:rsidR="000D677C" w:rsidRPr="00C7005D">
        <w:rPr>
          <w:rFonts w:ascii="Arial" w:hAnsi="Arial" w:cs="Arial"/>
        </w:rPr>
        <w:t>ο</w:t>
      </w:r>
      <w:r w:rsidR="007976C8" w:rsidRPr="00C7005D">
        <w:rPr>
          <w:rFonts w:ascii="Arial" w:hAnsi="Arial" w:cs="Arial"/>
        </w:rPr>
        <w:t xml:space="preserve"> κορυφαίος ψηφιακ</w:t>
      </w:r>
      <w:r w:rsidR="000D677C" w:rsidRPr="00C7005D">
        <w:rPr>
          <w:rFonts w:ascii="Arial" w:hAnsi="Arial" w:cs="Arial"/>
        </w:rPr>
        <w:t>ό</w:t>
      </w:r>
      <w:r w:rsidR="007976C8" w:rsidRPr="00C7005D">
        <w:rPr>
          <w:rFonts w:ascii="Arial" w:hAnsi="Arial" w:cs="Arial"/>
        </w:rPr>
        <w:t>ς τηλεπικοινωνιακ</w:t>
      </w:r>
      <w:r w:rsidR="000D677C" w:rsidRPr="00C7005D">
        <w:rPr>
          <w:rFonts w:ascii="Arial" w:hAnsi="Arial" w:cs="Arial"/>
        </w:rPr>
        <w:t>ό</w:t>
      </w:r>
      <w:r w:rsidR="007976C8" w:rsidRPr="00C7005D">
        <w:rPr>
          <w:rFonts w:ascii="Arial" w:hAnsi="Arial" w:cs="Arial"/>
        </w:rPr>
        <w:t>ς π</w:t>
      </w:r>
      <w:r w:rsidR="000D677C" w:rsidRPr="00C7005D">
        <w:rPr>
          <w:rFonts w:ascii="Arial" w:hAnsi="Arial" w:cs="Arial"/>
        </w:rPr>
        <w:t>άροχος</w:t>
      </w:r>
      <w:r w:rsidR="00385B03" w:rsidRPr="00C7005D">
        <w:rPr>
          <w:rFonts w:ascii="Arial" w:hAnsi="Arial" w:cs="Arial"/>
        </w:rPr>
        <w:t xml:space="preserve"> </w:t>
      </w:r>
      <w:r w:rsidR="000D677C" w:rsidRPr="00C7005D">
        <w:rPr>
          <w:rFonts w:ascii="Arial" w:hAnsi="Arial" w:cs="Arial"/>
        </w:rPr>
        <w:t>στην</w:t>
      </w:r>
      <w:r w:rsidR="007976C8" w:rsidRPr="00C7005D">
        <w:rPr>
          <w:rFonts w:ascii="Arial" w:hAnsi="Arial" w:cs="Arial"/>
        </w:rPr>
        <w:t xml:space="preserve"> Ευρώπη, οδηγώντας παράλληλα και την Ελλάδα προς τις κορυφαίες θέσεις ψηφιακοποίησης στην Ευρώπη. </w:t>
      </w:r>
      <w:r w:rsidR="00AA7615" w:rsidRPr="00C7005D">
        <w:rPr>
          <w:rFonts w:ascii="Arial" w:hAnsi="Arial" w:cs="Arial"/>
        </w:rPr>
        <w:t>Σε αυτό το πλαίσιο, έ</w:t>
      </w:r>
      <w:r w:rsidR="007976C8" w:rsidRPr="00C7005D">
        <w:rPr>
          <w:rFonts w:ascii="Arial" w:hAnsi="Arial" w:cs="Arial"/>
        </w:rPr>
        <w:t xml:space="preserve">χουμε θέσει φιλόδοξους στόχους που </w:t>
      </w:r>
      <w:r w:rsidR="00AA7615" w:rsidRPr="00C7005D">
        <w:rPr>
          <w:rFonts w:ascii="Arial" w:hAnsi="Arial" w:cs="Arial"/>
        </w:rPr>
        <w:t xml:space="preserve">καθορίζουν την πορεία μας προς το μέλλον και θα μας επιτρέψουν να δημιουργήσουμε ακόμη περισσότερη </w:t>
      </w:r>
      <w:r w:rsidR="007F63F3" w:rsidRPr="00C7005D">
        <w:rPr>
          <w:rFonts w:ascii="Arial" w:hAnsi="Arial" w:cs="Arial"/>
        </w:rPr>
        <w:t>αξία για τους μετόχους μας</w:t>
      </w:r>
      <w:r w:rsidR="007976C8" w:rsidRPr="00C7005D">
        <w:rPr>
          <w:rFonts w:ascii="Arial" w:hAnsi="Arial" w:cs="Arial"/>
        </w:rPr>
        <w:t>».</w:t>
      </w:r>
    </w:p>
    <w:p w14:paraId="352C55CA" w14:textId="77777777" w:rsidR="00F773F5" w:rsidRPr="00C7005D" w:rsidRDefault="00F773F5" w:rsidP="007B5D98">
      <w:pPr>
        <w:spacing w:after="0" w:line="240" w:lineRule="auto"/>
        <w:jc w:val="both"/>
        <w:rPr>
          <w:rFonts w:ascii="Arial" w:hAnsi="Arial" w:cs="Arial"/>
        </w:rPr>
      </w:pPr>
    </w:p>
    <w:bookmarkEnd w:id="0"/>
    <w:bookmarkEnd w:id="1"/>
    <w:p w14:paraId="42AB3E43" w14:textId="231E51D0" w:rsidR="00A565B0" w:rsidRPr="00561570" w:rsidRDefault="00A565B0" w:rsidP="00CE6685">
      <w:pPr>
        <w:spacing w:after="0" w:line="240" w:lineRule="auto"/>
        <w:jc w:val="both"/>
        <w:rPr>
          <w:rFonts w:ascii="Arial" w:eastAsia="Times New Roman" w:hAnsi="Arial" w:cs="Arial"/>
          <w:b/>
          <w:color w:val="00B0F0"/>
          <w:sz w:val="24"/>
          <w:szCs w:val="24"/>
        </w:rPr>
      </w:pPr>
      <w:r w:rsidRPr="00561570">
        <w:rPr>
          <w:rFonts w:ascii="Arial" w:eastAsia="Times New Roman" w:hAnsi="Arial" w:cs="Arial"/>
          <w:b/>
          <w:color w:val="00B0F0"/>
          <w:sz w:val="24"/>
          <w:szCs w:val="24"/>
        </w:rPr>
        <w:t>Π</w:t>
      </w:r>
      <w:r w:rsidR="00166824" w:rsidRPr="00561570">
        <w:rPr>
          <w:rFonts w:ascii="Arial" w:eastAsia="Times New Roman" w:hAnsi="Arial" w:cs="Arial"/>
          <w:b/>
          <w:color w:val="00B0F0"/>
          <w:sz w:val="24"/>
          <w:szCs w:val="24"/>
        </w:rPr>
        <w:t>ΡΟΟΠΤΙΚΕΣ</w:t>
      </w:r>
    </w:p>
    <w:p w14:paraId="5544FFFB" w14:textId="4133A0C2" w:rsidR="00ED2FB4" w:rsidRDefault="00561570" w:rsidP="00561570">
      <w:pPr>
        <w:spacing w:line="280" w:lineRule="exact"/>
        <w:jc w:val="both"/>
        <w:rPr>
          <w:rFonts w:ascii="Arial" w:eastAsia="Times New Roman" w:hAnsi="Arial" w:cs="Arial"/>
          <w:szCs w:val="20"/>
        </w:rPr>
      </w:pPr>
      <w:r w:rsidRPr="00561570">
        <w:rPr>
          <w:rFonts w:ascii="Arial" w:eastAsia="Times New Roman" w:hAnsi="Arial" w:cs="Arial"/>
          <w:noProof/>
          <w:szCs w:val="20"/>
          <w:lang w:val="en-US"/>
        </w:rPr>
        <mc:AlternateContent>
          <mc:Choice Requires="wps">
            <w:drawing>
              <wp:anchor distT="0" distB="0" distL="114300" distR="114300" simplePos="0" relativeHeight="251658243" behindDoc="0" locked="0" layoutInCell="1" allowOverlap="1" wp14:anchorId="4E6AD1A6" wp14:editId="11A2C02B">
                <wp:simplePos x="0" y="0"/>
                <wp:positionH relativeFrom="column">
                  <wp:posOffset>-1270</wp:posOffset>
                </wp:positionH>
                <wp:positionV relativeFrom="paragraph">
                  <wp:posOffset>16510</wp:posOffset>
                </wp:positionV>
                <wp:extent cx="664083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33B29" id="Straight Connector 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2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" strokecolor="#00b0f0" strokeweight=".6pt">
                <v:stroke joinstyle="miter"/>
              </v:line>
            </w:pict>
          </mc:Fallback>
        </mc:AlternateContent>
      </w:r>
      <w:r w:rsidR="00AA7615" w:rsidRPr="00561570">
        <w:rPr>
          <w:rFonts w:ascii="Arial" w:eastAsia="Times New Roman" w:hAnsi="Arial" w:cs="Arial"/>
          <w:szCs w:val="20"/>
        </w:rPr>
        <w:t>Σ</w:t>
      </w:r>
      <w:r w:rsidR="00D211CE" w:rsidRPr="00561570">
        <w:rPr>
          <w:rFonts w:ascii="Arial" w:eastAsia="Times New Roman" w:hAnsi="Arial" w:cs="Arial"/>
          <w:szCs w:val="20"/>
        </w:rPr>
        <w:t xml:space="preserve">υνεπής με τη στρατηγική του, </w:t>
      </w:r>
      <w:r w:rsidR="00AA7615" w:rsidRPr="00561570">
        <w:rPr>
          <w:rFonts w:ascii="Arial" w:eastAsia="Times New Roman" w:hAnsi="Arial" w:cs="Arial"/>
          <w:szCs w:val="20"/>
        </w:rPr>
        <w:t xml:space="preserve">το 2025 ο ΟΤΕ </w:t>
      </w:r>
      <w:r w:rsidR="00A05581" w:rsidRPr="00561570">
        <w:rPr>
          <w:rFonts w:ascii="Arial" w:eastAsia="Times New Roman" w:hAnsi="Arial" w:cs="Arial"/>
          <w:szCs w:val="20"/>
        </w:rPr>
        <w:t xml:space="preserve">θα συνεχίσει </w:t>
      </w:r>
      <w:r w:rsidR="00592128" w:rsidRPr="00561570">
        <w:rPr>
          <w:rFonts w:ascii="Arial" w:eastAsia="Times New Roman" w:hAnsi="Arial" w:cs="Arial"/>
          <w:szCs w:val="20"/>
        </w:rPr>
        <w:t xml:space="preserve">να επενδύει σε προηγμένα δίκτυα, ενισχύοντας </w:t>
      </w:r>
      <w:r w:rsidR="00C11AF5" w:rsidRPr="00561570">
        <w:rPr>
          <w:rFonts w:ascii="Arial" w:eastAsia="Times New Roman" w:hAnsi="Arial" w:cs="Arial"/>
          <w:szCs w:val="20"/>
        </w:rPr>
        <w:t xml:space="preserve">την τεχνολογική του υπεροχή. </w:t>
      </w:r>
      <w:r w:rsidR="00D211CE" w:rsidRPr="00C7005D">
        <w:rPr>
          <w:rFonts w:ascii="Arial" w:eastAsia="Times New Roman" w:hAnsi="Arial" w:cs="Arial"/>
          <w:szCs w:val="20"/>
        </w:rPr>
        <w:t xml:space="preserve">Η </w:t>
      </w:r>
      <w:r w:rsidR="00AA7615" w:rsidRPr="00C7005D">
        <w:rPr>
          <w:rFonts w:ascii="Arial" w:eastAsia="Times New Roman" w:hAnsi="Arial" w:cs="Arial"/>
          <w:szCs w:val="20"/>
        </w:rPr>
        <w:t>Ε</w:t>
      </w:r>
      <w:r w:rsidR="00D211CE" w:rsidRPr="00C7005D">
        <w:rPr>
          <w:rFonts w:ascii="Arial" w:eastAsia="Times New Roman" w:hAnsi="Arial" w:cs="Arial"/>
          <w:szCs w:val="20"/>
        </w:rPr>
        <w:t xml:space="preserve">ταιρεία στοχεύει να καλύψει με δίκτυο </w:t>
      </w:r>
      <w:r w:rsidR="00D211CE" w:rsidRPr="00561570">
        <w:rPr>
          <w:rFonts w:ascii="Arial" w:eastAsia="Times New Roman" w:hAnsi="Arial" w:cs="Arial"/>
          <w:szCs w:val="20"/>
          <w:lang w:val="en-US"/>
        </w:rPr>
        <w:t>FTTH</w:t>
      </w:r>
      <w:r w:rsidR="00D211CE" w:rsidRPr="00C7005D">
        <w:rPr>
          <w:rFonts w:ascii="Arial" w:eastAsia="Times New Roman" w:hAnsi="Arial" w:cs="Arial"/>
          <w:szCs w:val="20"/>
        </w:rPr>
        <w:t xml:space="preserve"> περίπου 2,1 εκατομμύρια σπίτια κι επιχειρήσεις μέχρι το τέλος του 202</w:t>
      </w:r>
      <w:r w:rsidR="00A05581" w:rsidRPr="00C7005D">
        <w:rPr>
          <w:rFonts w:ascii="Arial" w:eastAsia="Times New Roman" w:hAnsi="Arial" w:cs="Arial"/>
          <w:szCs w:val="20"/>
        </w:rPr>
        <w:t>5</w:t>
      </w:r>
      <w:r w:rsidR="00324667" w:rsidRPr="00C7005D">
        <w:rPr>
          <w:rFonts w:ascii="Arial" w:eastAsia="Times New Roman" w:hAnsi="Arial" w:cs="Arial"/>
          <w:szCs w:val="20"/>
        </w:rPr>
        <w:t>,</w:t>
      </w:r>
      <w:r w:rsidR="00D211CE" w:rsidRPr="00C7005D">
        <w:rPr>
          <w:rFonts w:ascii="Arial" w:eastAsia="Times New Roman" w:hAnsi="Arial" w:cs="Arial"/>
          <w:szCs w:val="20"/>
        </w:rPr>
        <w:t xml:space="preserve"> ενώ παράλληλα</w:t>
      </w:r>
      <w:r w:rsidR="00592128" w:rsidRPr="00C7005D">
        <w:rPr>
          <w:rFonts w:ascii="Arial" w:eastAsia="Times New Roman" w:hAnsi="Arial" w:cs="Arial"/>
          <w:szCs w:val="20"/>
        </w:rPr>
        <w:t xml:space="preserve"> </w:t>
      </w:r>
      <w:r w:rsidR="00AA7615" w:rsidRPr="00C7005D">
        <w:rPr>
          <w:rFonts w:ascii="Arial" w:eastAsia="Times New Roman" w:hAnsi="Arial" w:cs="Arial"/>
          <w:szCs w:val="20"/>
        </w:rPr>
        <w:t xml:space="preserve">θα </w:t>
      </w:r>
      <w:r w:rsidR="00D211CE" w:rsidRPr="00C7005D">
        <w:rPr>
          <w:rFonts w:ascii="Arial" w:eastAsia="Times New Roman" w:hAnsi="Arial" w:cs="Arial"/>
          <w:szCs w:val="20"/>
        </w:rPr>
        <w:t xml:space="preserve">επεκτείνει την κάλυψη </w:t>
      </w:r>
      <w:r w:rsidR="00AA7615" w:rsidRPr="00C7005D">
        <w:rPr>
          <w:rFonts w:ascii="Arial" w:eastAsia="Times New Roman" w:hAnsi="Arial" w:cs="Arial"/>
          <w:szCs w:val="20"/>
        </w:rPr>
        <w:t xml:space="preserve">του δικτύου </w:t>
      </w:r>
      <w:r w:rsidR="00D211CE" w:rsidRPr="00C7005D">
        <w:rPr>
          <w:rFonts w:ascii="Arial" w:eastAsia="Times New Roman" w:hAnsi="Arial" w:cs="Arial"/>
          <w:b/>
          <w:bCs/>
          <w:szCs w:val="20"/>
        </w:rPr>
        <w:t>5</w:t>
      </w:r>
      <w:r w:rsidR="00D211CE" w:rsidRPr="00561570">
        <w:rPr>
          <w:rFonts w:ascii="Arial" w:eastAsia="Times New Roman" w:hAnsi="Arial" w:cs="Arial"/>
          <w:b/>
          <w:bCs/>
          <w:szCs w:val="20"/>
          <w:lang w:val="en-US"/>
        </w:rPr>
        <w:t>G</w:t>
      </w:r>
      <w:r w:rsidR="00D211CE" w:rsidRPr="00C7005D">
        <w:rPr>
          <w:rFonts w:ascii="Arial" w:eastAsia="Times New Roman" w:hAnsi="Arial" w:cs="Arial"/>
          <w:b/>
          <w:bCs/>
          <w:szCs w:val="20"/>
        </w:rPr>
        <w:t xml:space="preserve"> </w:t>
      </w:r>
      <w:r w:rsidR="00D211CE" w:rsidRPr="00561570">
        <w:rPr>
          <w:rFonts w:ascii="Arial" w:eastAsia="Times New Roman" w:hAnsi="Arial" w:cs="Arial"/>
          <w:b/>
          <w:bCs/>
          <w:szCs w:val="20"/>
          <w:lang w:val="en-US"/>
        </w:rPr>
        <w:t>Stand</w:t>
      </w:r>
      <w:r w:rsidR="00D211CE" w:rsidRPr="00C7005D">
        <w:rPr>
          <w:rFonts w:ascii="Arial" w:eastAsia="Times New Roman" w:hAnsi="Arial" w:cs="Arial"/>
          <w:b/>
          <w:bCs/>
          <w:szCs w:val="20"/>
        </w:rPr>
        <w:t>-</w:t>
      </w:r>
      <w:r w:rsidR="00D211CE" w:rsidRPr="00561570">
        <w:rPr>
          <w:rFonts w:ascii="Arial" w:eastAsia="Times New Roman" w:hAnsi="Arial" w:cs="Arial"/>
          <w:b/>
          <w:bCs/>
          <w:szCs w:val="20"/>
          <w:lang w:val="en-US"/>
        </w:rPr>
        <w:t>Alone</w:t>
      </w:r>
      <w:r w:rsidR="00D211CE" w:rsidRPr="00C7005D">
        <w:rPr>
          <w:rFonts w:ascii="Arial" w:eastAsia="Times New Roman" w:hAnsi="Arial" w:cs="Arial"/>
          <w:b/>
          <w:bCs/>
          <w:szCs w:val="20"/>
        </w:rPr>
        <w:t xml:space="preserve"> (</w:t>
      </w:r>
      <w:r w:rsidR="00D211CE" w:rsidRPr="00561570">
        <w:rPr>
          <w:rFonts w:ascii="Arial" w:eastAsia="Times New Roman" w:hAnsi="Arial" w:cs="Arial"/>
          <w:b/>
          <w:bCs/>
          <w:szCs w:val="20"/>
          <w:lang w:val="en-US"/>
        </w:rPr>
        <w:t>SA</w:t>
      </w:r>
      <w:r w:rsidR="00D211CE" w:rsidRPr="00C7005D">
        <w:rPr>
          <w:rFonts w:ascii="Arial" w:eastAsia="Times New Roman" w:hAnsi="Arial" w:cs="Arial"/>
          <w:b/>
          <w:bCs/>
          <w:szCs w:val="20"/>
        </w:rPr>
        <w:t>)</w:t>
      </w:r>
      <w:r w:rsidR="00D211CE" w:rsidRPr="00C7005D">
        <w:rPr>
          <w:rFonts w:ascii="Arial" w:eastAsia="Times New Roman" w:hAnsi="Arial" w:cs="Arial"/>
          <w:szCs w:val="20"/>
        </w:rPr>
        <w:t xml:space="preserve">. </w:t>
      </w:r>
      <w:r w:rsidR="00D211CE" w:rsidRPr="00561570">
        <w:rPr>
          <w:rFonts w:ascii="Arial" w:eastAsia="Times New Roman" w:hAnsi="Arial" w:cs="Arial"/>
          <w:szCs w:val="20"/>
        </w:rPr>
        <w:t>Ταυτόχρονα</w:t>
      </w:r>
      <w:r w:rsidR="00592128" w:rsidRPr="00561570">
        <w:rPr>
          <w:rFonts w:ascii="Arial" w:eastAsia="Times New Roman" w:hAnsi="Arial" w:cs="Arial"/>
          <w:szCs w:val="20"/>
        </w:rPr>
        <w:t>,</w:t>
      </w:r>
      <w:r w:rsidR="00D211CE" w:rsidRPr="00561570">
        <w:rPr>
          <w:rFonts w:ascii="Arial" w:eastAsia="Times New Roman" w:hAnsi="Arial" w:cs="Arial"/>
          <w:szCs w:val="20"/>
        </w:rPr>
        <w:t xml:space="preserve"> παραμένει προσηλωμένη </w:t>
      </w:r>
      <w:r w:rsidR="00592128" w:rsidRPr="00561570">
        <w:rPr>
          <w:rFonts w:ascii="Arial" w:eastAsia="Times New Roman" w:hAnsi="Arial" w:cs="Arial"/>
          <w:szCs w:val="20"/>
        </w:rPr>
        <w:t xml:space="preserve">στην άριστη εμπειρία πελάτη </w:t>
      </w:r>
      <w:r w:rsidR="00322FEA" w:rsidRPr="00561570">
        <w:rPr>
          <w:rFonts w:ascii="Arial" w:eastAsia="Times New Roman" w:hAnsi="Arial" w:cs="Arial"/>
          <w:szCs w:val="20"/>
        </w:rPr>
        <w:t xml:space="preserve">επενδύοντας σε ψηφιακές υπηρεσίες και σημεία επαφής, </w:t>
      </w:r>
      <w:r w:rsidR="00385B03" w:rsidRPr="00561570">
        <w:rPr>
          <w:rFonts w:ascii="Arial" w:eastAsia="Times New Roman" w:hAnsi="Arial" w:cs="Arial"/>
          <w:szCs w:val="20"/>
        </w:rPr>
        <w:t>αλλά και</w:t>
      </w:r>
      <w:r w:rsidR="00322FEA" w:rsidRPr="00561570">
        <w:rPr>
          <w:rFonts w:ascii="Arial" w:eastAsia="Times New Roman" w:hAnsi="Arial" w:cs="Arial"/>
          <w:szCs w:val="20"/>
        </w:rPr>
        <w:t xml:space="preserve"> </w:t>
      </w:r>
      <w:r w:rsidR="00385B03" w:rsidRPr="00561570">
        <w:rPr>
          <w:rFonts w:ascii="Arial" w:eastAsia="Times New Roman" w:hAnsi="Arial" w:cs="Arial"/>
          <w:szCs w:val="20"/>
        </w:rPr>
        <w:t>σ</w:t>
      </w:r>
      <w:r w:rsidR="00210B7C" w:rsidRPr="00561570">
        <w:rPr>
          <w:rFonts w:ascii="Arial" w:eastAsia="Times New Roman" w:hAnsi="Arial" w:cs="Arial"/>
          <w:szCs w:val="20"/>
        </w:rPr>
        <w:t>τον μετασχηματισμό των λειτουργ</w:t>
      </w:r>
      <w:r>
        <w:rPr>
          <w:rFonts w:ascii="Arial" w:eastAsia="Times New Roman" w:hAnsi="Arial" w:cs="Arial"/>
          <w:szCs w:val="20"/>
        </w:rPr>
        <w:t>ιών</w:t>
      </w:r>
      <w:r w:rsidR="00210B7C" w:rsidRPr="00561570">
        <w:rPr>
          <w:rFonts w:ascii="Arial" w:eastAsia="Times New Roman" w:hAnsi="Arial" w:cs="Arial"/>
          <w:szCs w:val="20"/>
        </w:rPr>
        <w:t xml:space="preserve"> </w:t>
      </w:r>
      <w:r w:rsidR="00095C93" w:rsidRPr="00561570">
        <w:rPr>
          <w:rFonts w:ascii="Arial" w:eastAsia="Times New Roman" w:hAnsi="Arial" w:cs="Arial"/>
          <w:szCs w:val="20"/>
        </w:rPr>
        <w:t>της</w:t>
      </w:r>
      <w:r w:rsidR="00322FEA" w:rsidRPr="00561570">
        <w:rPr>
          <w:rFonts w:ascii="Arial" w:eastAsia="Times New Roman" w:hAnsi="Arial" w:cs="Arial"/>
          <w:szCs w:val="20"/>
        </w:rPr>
        <w:t>.</w:t>
      </w:r>
    </w:p>
    <w:p w14:paraId="2CC823DA" w14:textId="3985AC68" w:rsidR="00C02489" w:rsidRPr="00561570" w:rsidRDefault="00095C93" w:rsidP="00561570">
      <w:pPr>
        <w:spacing w:line="280" w:lineRule="exact"/>
        <w:jc w:val="both"/>
        <w:rPr>
          <w:rFonts w:ascii="Arial" w:hAnsi="Arial" w:cs="Arial"/>
        </w:rPr>
      </w:pPr>
      <w:r>
        <w:rPr>
          <w:rFonts w:ascii="Arial" w:hAnsi="Arial" w:cs="Arial"/>
        </w:rPr>
        <w:t xml:space="preserve">Λαμβάνοντας υπόψη </w:t>
      </w:r>
      <w:r w:rsidRPr="00C02489">
        <w:rPr>
          <w:rFonts w:ascii="Arial" w:hAnsi="Arial" w:cs="Arial"/>
        </w:rPr>
        <w:t>τη</w:t>
      </w:r>
      <w:r>
        <w:rPr>
          <w:rFonts w:ascii="Arial" w:hAnsi="Arial" w:cs="Arial"/>
        </w:rPr>
        <w:t>ν</w:t>
      </w:r>
      <w:r w:rsidRPr="00C02489">
        <w:rPr>
          <w:rFonts w:ascii="Arial" w:hAnsi="Arial" w:cs="Arial"/>
        </w:rPr>
        <w:t xml:space="preserve"> τρέχουσα δυναμική της αγοράς, ο ΟΤΕ</w:t>
      </w:r>
      <w:r>
        <w:rPr>
          <w:rFonts w:ascii="Arial" w:hAnsi="Arial" w:cs="Arial"/>
        </w:rPr>
        <w:t xml:space="preserve"> εκτιμά ότι θα συνεχίσει την αναπτυξιακή του πορεία </w:t>
      </w:r>
      <w:r w:rsidR="0045661F" w:rsidRPr="00C02489">
        <w:rPr>
          <w:rFonts w:ascii="Arial" w:hAnsi="Arial" w:cs="Arial"/>
        </w:rPr>
        <w:t>το 2025: Στ</w:t>
      </w:r>
      <w:r>
        <w:rPr>
          <w:rFonts w:ascii="Arial" w:hAnsi="Arial" w:cs="Arial"/>
        </w:rPr>
        <w:t>ις</w:t>
      </w:r>
      <w:r w:rsidR="0045661F" w:rsidRPr="00A3717F">
        <w:rPr>
          <w:rFonts w:ascii="Arial" w:hAnsi="Arial" w:cs="Arial"/>
        </w:rPr>
        <w:t xml:space="preserve"> </w:t>
      </w:r>
      <w:r w:rsidR="00FB57AA" w:rsidRPr="00561570">
        <w:rPr>
          <w:rFonts w:ascii="Arial" w:hAnsi="Arial" w:cs="Arial"/>
          <w:b/>
          <w:bCs/>
        </w:rPr>
        <w:t>ευρυζωνικές</w:t>
      </w:r>
      <w:r w:rsidR="00FB57AA" w:rsidRPr="00561570">
        <w:rPr>
          <w:rFonts w:ascii="Arial" w:hAnsi="Arial" w:cs="Arial"/>
        </w:rPr>
        <w:t xml:space="preserve"> υπηρεσίες</w:t>
      </w:r>
      <w:r w:rsidR="0045661F" w:rsidRPr="00A3717F">
        <w:rPr>
          <w:rFonts w:ascii="Arial" w:hAnsi="Arial" w:cs="Arial"/>
        </w:rPr>
        <w:t>, θα αξιοποιήσει πρωτοβουλίες όπως το</w:t>
      </w:r>
      <w:r w:rsidR="00A03DC0" w:rsidRPr="00A3717F">
        <w:rPr>
          <w:rFonts w:ascii="Arial" w:hAnsi="Arial" w:cs="Arial"/>
        </w:rPr>
        <w:t xml:space="preserve"> κουπόνι</w:t>
      </w:r>
      <w:r w:rsidR="0045661F" w:rsidRPr="00A3717F">
        <w:rPr>
          <w:rFonts w:ascii="Arial" w:hAnsi="Arial" w:cs="Arial"/>
        </w:rPr>
        <w:t xml:space="preserve"> Gigabit και το</w:t>
      </w:r>
      <w:r w:rsidR="00A03DC0" w:rsidRPr="00A3717F">
        <w:rPr>
          <w:rFonts w:ascii="Arial" w:hAnsi="Arial" w:cs="Arial"/>
        </w:rPr>
        <w:t xml:space="preserve"> κουπόνι Smart Readiness</w:t>
      </w:r>
      <w:r w:rsidR="00282D72" w:rsidRPr="00A3717F">
        <w:rPr>
          <w:rFonts w:ascii="Arial" w:hAnsi="Arial" w:cs="Arial"/>
        </w:rPr>
        <w:t xml:space="preserve"> με σκοπό να ενισχύσει περαιτέρω τη διείσδυση των υπηρεσιών FTTH</w:t>
      </w:r>
      <w:r>
        <w:rPr>
          <w:rFonts w:ascii="Arial" w:hAnsi="Arial" w:cs="Arial"/>
        </w:rPr>
        <w:t>.</w:t>
      </w:r>
      <w:r w:rsidRPr="00095C93">
        <w:rPr>
          <w:rFonts w:ascii="Arial" w:hAnsi="Arial" w:cs="Arial"/>
        </w:rPr>
        <w:t xml:space="preserve"> </w:t>
      </w:r>
      <w:r>
        <w:rPr>
          <w:rFonts w:ascii="Arial" w:hAnsi="Arial" w:cs="Arial"/>
        </w:rPr>
        <w:t>Τις ευρυζωνικές υπηρεσίες αναμένεται να επηρεάσει θετικά και η</w:t>
      </w:r>
      <w:r w:rsidRPr="00A3717F">
        <w:rPr>
          <w:rFonts w:ascii="Arial" w:hAnsi="Arial" w:cs="Arial"/>
        </w:rPr>
        <w:t xml:space="preserve"> υπηρεσία FWA</w:t>
      </w:r>
      <w:r>
        <w:rPr>
          <w:rFonts w:ascii="Arial" w:hAnsi="Arial" w:cs="Arial"/>
        </w:rPr>
        <w:t>, που λανσαρίστηκε πρόσφατα.</w:t>
      </w:r>
      <w:r w:rsidR="008C70F5" w:rsidRPr="00A3717F">
        <w:rPr>
          <w:rFonts w:ascii="Arial" w:hAnsi="Arial" w:cs="Arial"/>
        </w:rPr>
        <w:t xml:space="preserve"> Στην</w:t>
      </w:r>
      <w:r w:rsidR="008C70F5" w:rsidRPr="00561570">
        <w:rPr>
          <w:rFonts w:ascii="Arial" w:hAnsi="Arial" w:cs="Arial"/>
        </w:rPr>
        <w:t xml:space="preserve"> </w:t>
      </w:r>
      <w:r w:rsidR="008C70F5" w:rsidRPr="00561570">
        <w:rPr>
          <w:rFonts w:ascii="Arial" w:hAnsi="Arial" w:cs="Arial"/>
          <w:b/>
          <w:bCs/>
        </w:rPr>
        <w:t>τηλεόραση</w:t>
      </w:r>
      <w:r w:rsidR="00872AF3" w:rsidRPr="00561570">
        <w:rPr>
          <w:rFonts w:ascii="Arial" w:hAnsi="Arial" w:cs="Arial"/>
        </w:rPr>
        <w:t>,</w:t>
      </w:r>
      <w:r w:rsidR="008C70F5" w:rsidRPr="00561570">
        <w:rPr>
          <w:rFonts w:ascii="Arial" w:hAnsi="Arial" w:cs="Arial"/>
        </w:rPr>
        <w:t xml:space="preserve"> η συμφωνία αμοιβαίας </w:t>
      </w:r>
      <w:r w:rsidR="008C70F5" w:rsidRPr="00284899">
        <w:rPr>
          <w:rFonts w:ascii="Arial" w:hAnsi="Arial" w:cs="Arial"/>
        </w:rPr>
        <w:t>διάθεσης αθλητικού περιεχομένου με τη NOVA θα συνεχίσει να ενισχύει τις υπηρεσίες συνδρομητικής τηλεόρασης</w:t>
      </w:r>
      <w:r w:rsidR="00284BBB" w:rsidRPr="00284899">
        <w:rPr>
          <w:rFonts w:ascii="Arial" w:hAnsi="Arial" w:cs="Arial"/>
        </w:rPr>
        <w:t xml:space="preserve">, ενώ η πρόσφατη νομοθεσία κατά της πειρατείας </w:t>
      </w:r>
      <w:r w:rsidR="00284BBB">
        <w:rPr>
          <w:rFonts w:ascii="Arial" w:hAnsi="Arial" w:cs="Arial"/>
        </w:rPr>
        <w:t xml:space="preserve">αναμένεται να </w:t>
      </w:r>
      <w:r w:rsidR="00284BBB" w:rsidRPr="00284899">
        <w:rPr>
          <w:rFonts w:ascii="Arial" w:hAnsi="Arial" w:cs="Arial"/>
        </w:rPr>
        <w:t>υποστηρίξει περαιτέρω την ανάπτυξη</w:t>
      </w:r>
      <w:r w:rsidR="00681AA1" w:rsidRPr="00284899">
        <w:rPr>
          <w:rFonts w:ascii="Arial" w:hAnsi="Arial" w:cs="Arial"/>
        </w:rPr>
        <w:t>.</w:t>
      </w:r>
      <w:r w:rsidR="006E692A" w:rsidRPr="00284899">
        <w:rPr>
          <w:rFonts w:ascii="Arial" w:hAnsi="Arial" w:cs="Arial"/>
        </w:rPr>
        <w:t xml:space="preserve"> </w:t>
      </w:r>
      <w:r w:rsidR="00866D3D" w:rsidRPr="00284899">
        <w:rPr>
          <w:rFonts w:ascii="Arial" w:hAnsi="Arial" w:cs="Arial"/>
        </w:rPr>
        <w:t>Ο ΟΤΕ</w:t>
      </w:r>
      <w:r w:rsidR="00866D3D" w:rsidRPr="00561570">
        <w:rPr>
          <w:rFonts w:ascii="Arial" w:hAnsi="Arial" w:cs="Arial"/>
        </w:rPr>
        <w:t xml:space="preserve"> επεκτείνει την πελατειακή του βάση ενισχύοντας ταυτόχρονα το </w:t>
      </w:r>
      <w:r w:rsidR="00DE3EB4" w:rsidRPr="00561570">
        <w:rPr>
          <w:rFonts w:ascii="Arial" w:hAnsi="Arial" w:cs="Arial"/>
        </w:rPr>
        <w:t xml:space="preserve">μηνιαίο </w:t>
      </w:r>
      <w:r w:rsidR="00866D3D" w:rsidRPr="00561570">
        <w:rPr>
          <w:rFonts w:ascii="Arial" w:hAnsi="Arial" w:cs="Arial"/>
        </w:rPr>
        <w:t>μέσο έσοδο ανά πελάτη</w:t>
      </w:r>
      <w:r w:rsidR="003150DB" w:rsidRPr="00561570">
        <w:rPr>
          <w:rFonts w:ascii="Arial" w:hAnsi="Arial" w:cs="Arial"/>
        </w:rPr>
        <w:t xml:space="preserve"> (ARPU).</w:t>
      </w:r>
      <w:r w:rsidR="006E692A" w:rsidRPr="00561570">
        <w:rPr>
          <w:rFonts w:ascii="Arial" w:hAnsi="Arial" w:cs="Arial"/>
        </w:rPr>
        <w:t xml:space="preserve"> Στην </w:t>
      </w:r>
      <w:r w:rsidR="006E692A" w:rsidRPr="00561570">
        <w:rPr>
          <w:rFonts w:ascii="Arial" w:hAnsi="Arial" w:cs="Arial"/>
          <w:b/>
          <w:bCs/>
        </w:rPr>
        <w:t>κινητή</w:t>
      </w:r>
      <w:r w:rsidR="00872AF3" w:rsidRPr="00561570">
        <w:rPr>
          <w:rFonts w:ascii="Arial" w:hAnsi="Arial" w:cs="Arial"/>
        </w:rPr>
        <w:t>,</w:t>
      </w:r>
      <w:r w:rsidR="00B35FEF" w:rsidRPr="00561570">
        <w:rPr>
          <w:rFonts w:ascii="Arial" w:hAnsi="Arial" w:cs="Arial"/>
        </w:rPr>
        <w:t xml:space="preserve"> η </w:t>
      </w:r>
      <w:r w:rsidRPr="00561570">
        <w:rPr>
          <w:rFonts w:ascii="Arial" w:hAnsi="Arial" w:cs="Arial"/>
        </w:rPr>
        <w:t xml:space="preserve">μεγάλη </w:t>
      </w:r>
      <w:r w:rsidR="00C17792" w:rsidRPr="00561570">
        <w:rPr>
          <w:rFonts w:ascii="Arial" w:hAnsi="Arial" w:cs="Arial"/>
        </w:rPr>
        <w:t>πελατειακή</w:t>
      </w:r>
      <w:r w:rsidR="00B35FEF" w:rsidRPr="00561570">
        <w:rPr>
          <w:rFonts w:ascii="Arial" w:hAnsi="Arial" w:cs="Arial"/>
        </w:rPr>
        <w:t xml:space="preserve"> βάση </w:t>
      </w:r>
      <w:r w:rsidRPr="00561570">
        <w:rPr>
          <w:rFonts w:ascii="Arial" w:hAnsi="Arial" w:cs="Arial"/>
        </w:rPr>
        <w:t xml:space="preserve">της </w:t>
      </w:r>
      <w:r w:rsidR="00B35FEF" w:rsidRPr="00561570">
        <w:rPr>
          <w:rFonts w:ascii="Arial" w:hAnsi="Arial" w:cs="Arial"/>
        </w:rPr>
        <w:t xml:space="preserve">καρτοκινητής και </w:t>
      </w:r>
      <w:r w:rsidRPr="00561570">
        <w:rPr>
          <w:rFonts w:ascii="Arial" w:hAnsi="Arial" w:cs="Arial"/>
        </w:rPr>
        <w:t xml:space="preserve">οι πρωτοβουλίες για τη </w:t>
      </w:r>
      <w:r w:rsidR="00B35FEF" w:rsidRPr="00561570">
        <w:rPr>
          <w:rFonts w:ascii="Arial" w:hAnsi="Arial" w:cs="Arial"/>
        </w:rPr>
        <w:t>μετάβαση των πελατών σε υπηρεσίες υψηλότερης αξίας</w:t>
      </w:r>
      <w:r w:rsidRPr="00561570">
        <w:rPr>
          <w:rFonts w:ascii="Arial" w:hAnsi="Arial" w:cs="Arial"/>
        </w:rPr>
        <w:t>,</w:t>
      </w:r>
      <w:r w:rsidR="00B414BC" w:rsidRPr="00561570">
        <w:rPr>
          <w:rFonts w:ascii="Arial" w:hAnsi="Arial" w:cs="Arial"/>
        </w:rPr>
        <w:t xml:space="preserve"> παρέχουν περαιτέρω ευκαιρίες ανάπτυξης.</w:t>
      </w:r>
      <w:r w:rsidR="006E692A" w:rsidRPr="00561570">
        <w:rPr>
          <w:rFonts w:ascii="Arial" w:hAnsi="Arial" w:cs="Arial"/>
        </w:rPr>
        <w:t xml:space="preserve"> </w:t>
      </w:r>
      <w:r w:rsidR="004A63AE" w:rsidRPr="00561570">
        <w:rPr>
          <w:rFonts w:ascii="Arial" w:hAnsi="Arial" w:cs="Arial"/>
        </w:rPr>
        <w:t xml:space="preserve">Η θετική δυναμική στη συνδρομητική βάση συμβολαίων </w:t>
      </w:r>
      <w:r w:rsidRPr="00561570">
        <w:rPr>
          <w:rFonts w:ascii="Arial" w:hAnsi="Arial" w:cs="Arial"/>
        </w:rPr>
        <w:t xml:space="preserve">που </w:t>
      </w:r>
      <w:r w:rsidR="004A63AE" w:rsidRPr="00561570">
        <w:rPr>
          <w:rFonts w:ascii="Arial" w:hAnsi="Arial" w:cs="Arial"/>
        </w:rPr>
        <w:t xml:space="preserve">αναμένεται να συνεχιστεί το 2025, </w:t>
      </w:r>
      <w:r w:rsidR="004D5629" w:rsidRPr="00561570">
        <w:rPr>
          <w:rFonts w:ascii="Arial" w:hAnsi="Arial" w:cs="Arial"/>
        </w:rPr>
        <w:t xml:space="preserve">καθώς </w:t>
      </w:r>
      <w:r w:rsidRPr="00561570">
        <w:rPr>
          <w:rFonts w:ascii="Arial" w:hAnsi="Arial" w:cs="Arial"/>
        </w:rPr>
        <w:t xml:space="preserve">και </w:t>
      </w:r>
      <w:r w:rsidR="004A63AE" w:rsidRPr="00561570">
        <w:rPr>
          <w:rFonts w:ascii="Arial" w:hAnsi="Arial" w:cs="Arial"/>
        </w:rPr>
        <w:t>πρόσφατες πρωτοβουλίες στ</w:t>
      </w:r>
      <w:r w:rsidR="000070A0" w:rsidRPr="00561570">
        <w:rPr>
          <w:rFonts w:ascii="Arial" w:hAnsi="Arial" w:cs="Arial"/>
        </w:rPr>
        <w:t xml:space="preserve">ην </w:t>
      </w:r>
      <w:r w:rsidR="004A63AE" w:rsidRPr="00561570">
        <w:rPr>
          <w:rFonts w:ascii="Arial" w:hAnsi="Arial" w:cs="Arial"/>
        </w:rPr>
        <w:t xml:space="preserve">καρτοκινητή αναμένεται να υποστηρίξουν την ανάπτυξη της κινητής. </w:t>
      </w:r>
      <w:r w:rsidR="00F40202" w:rsidRPr="00561570">
        <w:rPr>
          <w:rFonts w:ascii="Arial" w:hAnsi="Arial" w:cs="Arial"/>
        </w:rPr>
        <w:t xml:space="preserve">Στον τομέα </w:t>
      </w:r>
      <w:r w:rsidR="00F40202" w:rsidRPr="00561570">
        <w:rPr>
          <w:rFonts w:ascii="Arial" w:hAnsi="Arial" w:cs="Arial"/>
          <w:b/>
          <w:bCs/>
        </w:rPr>
        <w:t>ICT</w:t>
      </w:r>
      <w:r w:rsidR="00F40202" w:rsidRPr="00561570">
        <w:rPr>
          <w:rFonts w:ascii="Arial" w:hAnsi="Arial" w:cs="Arial"/>
        </w:rPr>
        <w:t>, ο ΟΤΕ</w:t>
      </w:r>
      <w:r w:rsidRPr="00561570">
        <w:rPr>
          <w:rFonts w:ascii="Arial" w:hAnsi="Arial" w:cs="Arial"/>
        </w:rPr>
        <w:t>,</w:t>
      </w:r>
      <w:r w:rsidR="00A63BA7" w:rsidRPr="00561570">
        <w:rPr>
          <w:rFonts w:ascii="Arial" w:hAnsi="Arial" w:cs="Arial"/>
        </w:rPr>
        <w:t xml:space="preserve"> ως ένας από τους κύριους Systems Integrators για τις επιχειρήσεις και το δημόσιο τομέα στην Ελλάδα και την </w:t>
      </w:r>
      <w:r w:rsidR="00CA2411" w:rsidRPr="00561570">
        <w:rPr>
          <w:rFonts w:ascii="Arial" w:hAnsi="Arial" w:cs="Arial"/>
        </w:rPr>
        <w:t>Ευρωπαϊκή</w:t>
      </w:r>
      <w:r w:rsidR="00A63BA7" w:rsidRPr="00561570">
        <w:rPr>
          <w:rFonts w:ascii="Arial" w:hAnsi="Arial" w:cs="Arial"/>
        </w:rPr>
        <w:t xml:space="preserve"> Ένωση</w:t>
      </w:r>
      <w:r w:rsidR="00D41582" w:rsidRPr="00561570">
        <w:rPr>
          <w:rFonts w:ascii="Arial" w:hAnsi="Arial" w:cs="Arial"/>
        </w:rPr>
        <w:t xml:space="preserve">, </w:t>
      </w:r>
      <w:r w:rsidR="00F40202" w:rsidRPr="00561570">
        <w:rPr>
          <w:rFonts w:ascii="Arial" w:hAnsi="Arial" w:cs="Arial"/>
        </w:rPr>
        <w:t xml:space="preserve">αναμένεται να συνεχίσει να επωφελείται από </w:t>
      </w:r>
      <w:r w:rsidR="00872AF3" w:rsidRPr="00561570">
        <w:rPr>
          <w:rFonts w:ascii="Arial" w:hAnsi="Arial" w:cs="Arial"/>
        </w:rPr>
        <w:t xml:space="preserve">τη </w:t>
      </w:r>
      <w:r w:rsidR="00F40202" w:rsidRPr="00561570">
        <w:rPr>
          <w:rFonts w:ascii="Arial" w:hAnsi="Arial" w:cs="Arial"/>
        </w:rPr>
        <w:t>σταδιακή υλοποίηση του Σχεδίου Ανάκαμψης και Ανθεκτικότητας</w:t>
      </w:r>
      <w:r w:rsidR="00D41582" w:rsidRPr="00561570">
        <w:rPr>
          <w:rFonts w:ascii="Arial" w:hAnsi="Arial" w:cs="Arial"/>
        </w:rPr>
        <w:t>.</w:t>
      </w:r>
      <w:r w:rsidR="0035286C" w:rsidRPr="00561570">
        <w:rPr>
          <w:rFonts w:ascii="Arial" w:hAnsi="Arial" w:cs="Arial"/>
        </w:rPr>
        <w:t xml:space="preserve"> Στις υπηρεσίες </w:t>
      </w:r>
      <w:r w:rsidR="0035286C" w:rsidRPr="00561570">
        <w:rPr>
          <w:rFonts w:ascii="Arial" w:hAnsi="Arial" w:cs="Arial"/>
          <w:b/>
          <w:bCs/>
        </w:rPr>
        <w:t>χονδρικής</w:t>
      </w:r>
      <w:r w:rsidR="00872AF3" w:rsidRPr="00561570">
        <w:rPr>
          <w:rFonts w:ascii="Arial" w:hAnsi="Arial" w:cs="Arial"/>
        </w:rPr>
        <w:t>,</w:t>
      </w:r>
      <w:r w:rsidR="0035286C" w:rsidRPr="00561570">
        <w:rPr>
          <w:rFonts w:ascii="Arial" w:hAnsi="Arial" w:cs="Arial"/>
        </w:rPr>
        <w:t xml:space="preserve"> </w:t>
      </w:r>
      <w:r w:rsidR="00C360DA" w:rsidRPr="00561570">
        <w:rPr>
          <w:rFonts w:ascii="Arial" w:hAnsi="Arial" w:cs="Arial"/>
        </w:rPr>
        <w:t xml:space="preserve">o ΟΤΕ </w:t>
      </w:r>
      <w:r w:rsidR="00872AF3" w:rsidRPr="00561570">
        <w:rPr>
          <w:rFonts w:ascii="Arial" w:hAnsi="Arial" w:cs="Arial"/>
        </w:rPr>
        <w:t>εκτιμά πως οι προκλήσεις θα συνεχιστούν</w:t>
      </w:r>
      <w:r w:rsidR="00CA2411" w:rsidRPr="00561570">
        <w:rPr>
          <w:rFonts w:ascii="Arial" w:hAnsi="Arial" w:cs="Arial"/>
        </w:rPr>
        <w:t>. Η</w:t>
      </w:r>
      <w:r w:rsidR="00C02489" w:rsidRPr="00561570">
        <w:rPr>
          <w:rFonts w:ascii="Arial" w:hAnsi="Arial" w:cs="Arial"/>
        </w:rPr>
        <w:t xml:space="preserve"> συμφωνία εκπτώσεων όγκου στην αγορά χονδρικής FTTH αναμένεται να </w:t>
      </w:r>
      <w:r w:rsidR="00872AF3" w:rsidRPr="00561570">
        <w:rPr>
          <w:rFonts w:ascii="Arial" w:hAnsi="Arial" w:cs="Arial"/>
        </w:rPr>
        <w:t xml:space="preserve">ενισχύσει </w:t>
      </w:r>
      <w:r w:rsidR="00C02489" w:rsidRPr="00561570">
        <w:rPr>
          <w:rFonts w:ascii="Arial" w:hAnsi="Arial" w:cs="Arial"/>
        </w:rPr>
        <w:t>περαιτέρω τη μετάβαση σε υπηρεσίες οπτικών ινών και την αξιοποίηση των επενδύσεων.</w:t>
      </w:r>
    </w:p>
    <w:p w14:paraId="2DDB7DDA" w14:textId="59288457" w:rsidR="007179BC" w:rsidRPr="00E768D8" w:rsidRDefault="00E61C62" w:rsidP="007179BC">
      <w:pPr>
        <w:spacing w:after="0" w:line="240" w:lineRule="auto"/>
        <w:jc w:val="both"/>
        <w:rPr>
          <w:rFonts w:ascii="Arial" w:eastAsia="Times New Roman" w:hAnsi="Arial" w:cs="Arial"/>
          <w:i/>
          <w:color w:val="000000" w:themeColor="text1"/>
          <w:szCs w:val="20"/>
          <w:u w:val="single"/>
          <w:lang w:val="en-US"/>
        </w:rPr>
      </w:pPr>
      <w:r w:rsidRPr="00E768D8">
        <w:rPr>
          <w:rFonts w:ascii="Arial" w:eastAsia="Times New Roman" w:hAnsi="Arial" w:cs="Arial"/>
          <w:i/>
          <w:color w:val="000000" w:themeColor="text1"/>
          <w:szCs w:val="20"/>
          <w:u w:val="single"/>
        </w:rPr>
        <w:t>Στόχοι 202</w:t>
      </w:r>
      <w:r w:rsidR="00692DD7" w:rsidRPr="00E768D8">
        <w:rPr>
          <w:rFonts w:ascii="Arial" w:eastAsia="Times New Roman" w:hAnsi="Arial" w:cs="Arial"/>
          <w:i/>
          <w:color w:val="000000" w:themeColor="text1"/>
          <w:szCs w:val="20"/>
          <w:u w:val="single"/>
        </w:rPr>
        <w:t>5</w:t>
      </w:r>
    </w:p>
    <w:p w14:paraId="249EF422" w14:textId="655F26EC" w:rsidR="00D24770" w:rsidRPr="00C7005D" w:rsidRDefault="008557D3" w:rsidP="007A6319">
      <w:pPr>
        <w:pStyle w:val="ListParagraph"/>
        <w:numPr>
          <w:ilvl w:val="0"/>
          <w:numId w:val="45"/>
        </w:numPr>
        <w:spacing w:after="160" w:line="280" w:lineRule="exact"/>
        <w:ind w:left="284" w:hanging="284"/>
        <w:jc w:val="both"/>
        <w:rPr>
          <w:rFonts w:ascii="Arial" w:hAnsi="Arial" w:cs="Arial"/>
          <w:bCs/>
          <w:sz w:val="22"/>
          <w:lang w:val="el-GR"/>
        </w:rPr>
      </w:pPr>
      <w:r w:rsidRPr="00C7005D">
        <w:rPr>
          <w:rFonts w:ascii="Arial" w:hAnsi="Arial" w:cs="Arial"/>
          <w:b/>
          <w:sz w:val="22"/>
          <w:lang w:val="el-GR"/>
        </w:rPr>
        <w:t>Ελεύθερες Ταμειακές Ροές (</w:t>
      </w:r>
      <w:r w:rsidRPr="00A85656">
        <w:rPr>
          <w:rFonts w:ascii="Arial" w:hAnsi="Arial" w:cs="Arial"/>
          <w:b/>
          <w:sz w:val="22"/>
        </w:rPr>
        <w:t>FCF</w:t>
      </w:r>
      <w:r w:rsidRPr="00C7005D">
        <w:rPr>
          <w:rFonts w:ascii="Arial" w:hAnsi="Arial" w:cs="Arial"/>
          <w:b/>
          <w:sz w:val="22"/>
          <w:lang w:val="el-GR"/>
        </w:rPr>
        <w:t>):</w:t>
      </w:r>
      <w:r w:rsidRPr="00C7005D">
        <w:rPr>
          <w:rFonts w:ascii="Arial" w:hAnsi="Arial" w:cs="Arial"/>
          <w:bCs/>
          <w:sz w:val="22"/>
          <w:lang w:val="el-GR"/>
        </w:rPr>
        <w:t xml:space="preserve"> </w:t>
      </w:r>
      <w:r w:rsidR="004E6775" w:rsidRPr="00C7005D">
        <w:rPr>
          <w:rFonts w:ascii="Arial" w:hAnsi="Arial" w:cs="Arial"/>
          <w:bCs/>
          <w:sz w:val="22"/>
          <w:lang w:val="el-GR"/>
        </w:rPr>
        <w:t>Ο Όμιλος ΟΤΕ</w:t>
      </w:r>
      <w:r w:rsidR="00E768D8" w:rsidRPr="00C7005D">
        <w:rPr>
          <w:rFonts w:ascii="Arial" w:hAnsi="Arial" w:cs="Arial"/>
          <w:bCs/>
          <w:sz w:val="22"/>
          <w:lang w:val="el-GR"/>
        </w:rPr>
        <w:t xml:space="preserve"> αναμένει </w:t>
      </w:r>
      <w:r w:rsidR="00CA2411" w:rsidRPr="00C7005D">
        <w:rPr>
          <w:rFonts w:ascii="Arial" w:hAnsi="Arial" w:cs="Arial"/>
          <w:bCs/>
          <w:sz w:val="22"/>
          <w:lang w:val="el-GR"/>
        </w:rPr>
        <w:t xml:space="preserve">για το 2025 </w:t>
      </w:r>
      <w:r w:rsidR="00E768D8" w:rsidRPr="00C7005D">
        <w:rPr>
          <w:rFonts w:ascii="Arial" w:hAnsi="Arial" w:cs="Arial"/>
          <w:bCs/>
          <w:sz w:val="22"/>
          <w:lang w:val="el-GR"/>
        </w:rPr>
        <w:t xml:space="preserve">ελεύθερες ταμειακές ροές </w:t>
      </w:r>
      <w:r w:rsidR="00CA2411" w:rsidRPr="00C7005D">
        <w:rPr>
          <w:rFonts w:ascii="Arial" w:hAnsi="Arial" w:cs="Arial"/>
          <w:bCs/>
          <w:sz w:val="22"/>
          <w:lang w:val="el-GR"/>
        </w:rPr>
        <w:t>ύψους</w:t>
      </w:r>
      <w:r w:rsidR="00E768D8" w:rsidRPr="00C7005D">
        <w:rPr>
          <w:rFonts w:ascii="Arial" w:hAnsi="Arial" w:cs="Arial"/>
          <w:bCs/>
          <w:sz w:val="22"/>
          <w:lang w:val="el-GR"/>
        </w:rPr>
        <w:t xml:space="preserve"> €460</w:t>
      </w:r>
      <w:r w:rsidR="00D24770" w:rsidRPr="00C7005D">
        <w:rPr>
          <w:rFonts w:ascii="Arial" w:hAnsi="Arial" w:cs="Arial"/>
          <w:bCs/>
          <w:sz w:val="22"/>
          <w:lang w:val="el-GR"/>
        </w:rPr>
        <w:t xml:space="preserve"> </w:t>
      </w:r>
      <w:r w:rsidR="00E768D8" w:rsidRPr="00C7005D">
        <w:rPr>
          <w:rFonts w:ascii="Arial" w:hAnsi="Arial" w:cs="Arial"/>
          <w:bCs/>
          <w:sz w:val="22"/>
          <w:lang w:val="el-GR"/>
        </w:rPr>
        <w:t>εκατ</w:t>
      </w:r>
      <w:r w:rsidR="009165B7" w:rsidRPr="00C7005D">
        <w:rPr>
          <w:rFonts w:ascii="Arial" w:hAnsi="Arial" w:cs="Arial"/>
          <w:bCs/>
          <w:sz w:val="22"/>
          <w:lang w:val="el-GR"/>
        </w:rPr>
        <w:t>.</w:t>
      </w:r>
      <w:r w:rsidR="00E768D8" w:rsidRPr="00C7005D">
        <w:rPr>
          <w:rFonts w:ascii="Arial" w:hAnsi="Arial" w:cs="Arial"/>
          <w:bCs/>
          <w:sz w:val="22"/>
          <w:lang w:val="el-GR"/>
        </w:rPr>
        <w:t xml:space="preserve"> περίπου</w:t>
      </w:r>
      <w:r w:rsidR="001D5D8B" w:rsidRPr="00C7005D">
        <w:rPr>
          <w:rFonts w:ascii="Arial" w:hAnsi="Arial" w:cs="Arial"/>
          <w:bCs/>
          <w:sz w:val="22"/>
          <w:lang w:val="el-GR"/>
        </w:rPr>
        <w:t xml:space="preserve"> </w:t>
      </w:r>
      <w:r w:rsidR="00612D30" w:rsidRPr="00C7005D">
        <w:rPr>
          <w:rFonts w:ascii="Arial" w:hAnsi="Arial" w:cs="Arial"/>
          <w:bCs/>
          <w:sz w:val="22"/>
          <w:lang w:val="el-GR"/>
        </w:rPr>
        <w:t xml:space="preserve">συμπεριλαμβανομένων των εκτιμώμενων ταμειακών αναγκών της </w:t>
      </w:r>
      <w:r w:rsidR="00612D30" w:rsidRPr="007A6319">
        <w:rPr>
          <w:rFonts w:ascii="Arial" w:hAnsi="Arial" w:cs="Arial"/>
          <w:bCs/>
          <w:sz w:val="22"/>
        </w:rPr>
        <w:t>TELEKOM</w:t>
      </w:r>
      <w:r w:rsidR="00612D30" w:rsidRPr="00C7005D">
        <w:rPr>
          <w:rFonts w:ascii="Arial" w:hAnsi="Arial" w:cs="Arial"/>
          <w:bCs/>
          <w:sz w:val="22"/>
          <w:lang w:val="el-GR"/>
        </w:rPr>
        <w:t xml:space="preserve"> </w:t>
      </w:r>
      <w:r w:rsidR="00612D30" w:rsidRPr="007A6319">
        <w:rPr>
          <w:rFonts w:ascii="Arial" w:hAnsi="Arial" w:cs="Arial"/>
          <w:bCs/>
          <w:sz w:val="22"/>
        </w:rPr>
        <w:t>ROMANIA</w:t>
      </w:r>
      <w:r w:rsidR="00612D30" w:rsidRPr="00C7005D">
        <w:rPr>
          <w:rFonts w:ascii="Arial" w:hAnsi="Arial" w:cs="Arial"/>
          <w:bCs/>
          <w:sz w:val="22"/>
          <w:lang w:val="el-GR"/>
        </w:rPr>
        <w:t xml:space="preserve"> </w:t>
      </w:r>
      <w:r w:rsidR="00612D30" w:rsidRPr="007A6319">
        <w:rPr>
          <w:rFonts w:ascii="Arial" w:hAnsi="Arial" w:cs="Arial"/>
          <w:bCs/>
          <w:sz w:val="22"/>
        </w:rPr>
        <w:t>MOBILE</w:t>
      </w:r>
      <w:r w:rsidR="00612D30" w:rsidRPr="00C7005D">
        <w:rPr>
          <w:rFonts w:ascii="Arial" w:hAnsi="Arial" w:cs="Arial"/>
          <w:bCs/>
          <w:sz w:val="22"/>
          <w:lang w:val="el-GR"/>
        </w:rPr>
        <w:t xml:space="preserve"> (</w:t>
      </w:r>
      <w:r w:rsidR="00612D30" w:rsidRPr="007A6319">
        <w:rPr>
          <w:rFonts w:ascii="Arial" w:hAnsi="Arial" w:cs="Arial"/>
          <w:bCs/>
          <w:sz w:val="22"/>
        </w:rPr>
        <w:t>TKRM</w:t>
      </w:r>
      <w:r w:rsidR="00612D30" w:rsidRPr="00C7005D">
        <w:rPr>
          <w:rFonts w:ascii="Arial" w:hAnsi="Arial" w:cs="Arial"/>
          <w:bCs/>
          <w:sz w:val="22"/>
          <w:lang w:val="el-GR"/>
        </w:rPr>
        <w:t>), σε περίπτωση που δεν ολοκληρωθεί η πώληση της</w:t>
      </w:r>
      <w:r w:rsidR="00E768D8" w:rsidRPr="00C7005D">
        <w:rPr>
          <w:rFonts w:ascii="Arial" w:hAnsi="Arial" w:cs="Arial"/>
          <w:bCs/>
          <w:sz w:val="22"/>
          <w:lang w:val="el-GR"/>
        </w:rPr>
        <w:t xml:space="preserve">. </w:t>
      </w:r>
    </w:p>
    <w:p w14:paraId="63F23A0F" w14:textId="4934AE66" w:rsidR="002818B7" w:rsidRPr="00C7005D" w:rsidRDefault="002818B7" w:rsidP="002818B7">
      <w:pPr>
        <w:pStyle w:val="ListParagraph"/>
        <w:numPr>
          <w:ilvl w:val="0"/>
          <w:numId w:val="45"/>
        </w:numPr>
        <w:spacing w:after="160" w:line="280" w:lineRule="exact"/>
        <w:ind w:left="284" w:hanging="284"/>
        <w:jc w:val="both"/>
        <w:rPr>
          <w:rFonts w:ascii="Arial" w:hAnsi="Arial" w:cs="Arial"/>
          <w:bCs/>
          <w:sz w:val="22"/>
          <w:lang w:val="el-GR"/>
        </w:rPr>
      </w:pPr>
      <w:r w:rsidRPr="00C7005D">
        <w:rPr>
          <w:rFonts w:ascii="Arial" w:hAnsi="Arial" w:cs="Arial"/>
          <w:b/>
          <w:sz w:val="22"/>
          <w:lang w:val="el-GR"/>
        </w:rPr>
        <w:t>Επενδύσεις (</w:t>
      </w:r>
      <w:r w:rsidRPr="00A85656">
        <w:rPr>
          <w:rFonts w:ascii="Arial" w:hAnsi="Arial" w:cs="Arial"/>
          <w:b/>
          <w:sz w:val="22"/>
        </w:rPr>
        <w:t>CAPEX</w:t>
      </w:r>
      <w:r w:rsidRPr="00C7005D">
        <w:rPr>
          <w:rFonts w:ascii="Arial" w:hAnsi="Arial" w:cs="Arial"/>
          <w:b/>
          <w:sz w:val="22"/>
          <w:lang w:val="el-GR"/>
        </w:rPr>
        <w:t>):</w:t>
      </w:r>
      <w:r w:rsidRPr="00C7005D">
        <w:rPr>
          <w:rFonts w:ascii="Arial" w:hAnsi="Arial" w:cs="Arial"/>
          <w:bCs/>
          <w:sz w:val="22"/>
          <w:lang w:val="el-GR"/>
        </w:rPr>
        <w:t xml:space="preserve"> </w:t>
      </w:r>
      <w:r w:rsidR="00436AAD" w:rsidRPr="00C7005D">
        <w:rPr>
          <w:rFonts w:ascii="Arial" w:hAnsi="Arial" w:cs="Arial"/>
          <w:bCs/>
          <w:sz w:val="22"/>
          <w:lang w:val="el-GR"/>
        </w:rPr>
        <w:t xml:space="preserve">Οι επενδύσεις του Ομίλου για το 2025 αναμένεται να </w:t>
      </w:r>
      <w:r w:rsidR="009165B7" w:rsidRPr="00C7005D">
        <w:rPr>
          <w:rFonts w:ascii="Arial" w:hAnsi="Arial" w:cs="Arial"/>
          <w:bCs/>
          <w:sz w:val="22"/>
          <w:lang w:val="el-GR"/>
        </w:rPr>
        <w:t>κυμανθούν από</w:t>
      </w:r>
      <w:r w:rsidR="00CA2411" w:rsidRPr="00C7005D">
        <w:rPr>
          <w:rFonts w:ascii="Arial" w:hAnsi="Arial" w:cs="Arial"/>
          <w:bCs/>
          <w:sz w:val="22"/>
          <w:lang w:val="el-GR"/>
        </w:rPr>
        <w:t xml:space="preserve"> </w:t>
      </w:r>
      <w:r w:rsidR="00436AAD" w:rsidRPr="00C7005D">
        <w:rPr>
          <w:rFonts w:ascii="Arial" w:hAnsi="Arial" w:cs="Arial"/>
          <w:bCs/>
          <w:sz w:val="22"/>
          <w:lang w:val="el-GR"/>
        </w:rPr>
        <w:t xml:space="preserve">€610 εκατ. </w:t>
      </w:r>
      <w:r w:rsidR="009165B7" w:rsidRPr="00C7005D">
        <w:rPr>
          <w:rFonts w:ascii="Arial" w:hAnsi="Arial" w:cs="Arial"/>
          <w:bCs/>
          <w:sz w:val="22"/>
          <w:lang w:val="el-GR"/>
        </w:rPr>
        <w:t>έως</w:t>
      </w:r>
      <w:r w:rsidR="00CA2411" w:rsidRPr="00C7005D">
        <w:rPr>
          <w:rFonts w:ascii="Arial" w:hAnsi="Arial" w:cs="Arial"/>
          <w:bCs/>
          <w:sz w:val="22"/>
          <w:lang w:val="el-GR"/>
        </w:rPr>
        <w:t xml:space="preserve"> </w:t>
      </w:r>
      <w:r w:rsidR="00436AAD" w:rsidRPr="00C7005D">
        <w:rPr>
          <w:rFonts w:ascii="Arial" w:hAnsi="Arial" w:cs="Arial"/>
          <w:bCs/>
          <w:sz w:val="22"/>
          <w:lang w:val="el-GR"/>
        </w:rPr>
        <w:t xml:space="preserve">€620 εκατ., καθώς η Εταιρεία συνεχίζει την ανάπτυξη της υποδομής </w:t>
      </w:r>
      <w:r w:rsidR="00436AAD" w:rsidRPr="00A85656">
        <w:rPr>
          <w:rFonts w:ascii="Arial" w:hAnsi="Arial" w:cs="Arial"/>
          <w:bCs/>
          <w:sz w:val="22"/>
        </w:rPr>
        <w:t>FTTH</w:t>
      </w:r>
      <w:r w:rsidR="00436AAD" w:rsidRPr="00C7005D">
        <w:rPr>
          <w:rFonts w:ascii="Arial" w:hAnsi="Arial" w:cs="Arial"/>
          <w:bCs/>
          <w:sz w:val="22"/>
          <w:lang w:val="el-GR"/>
        </w:rPr>
        <w:t>.</w:t>
      </w:r>
    </w:p>
    <w:p w14:paraId="4FFD0C99" w14:textId="775E5B86" w:rsidR="00E17525" w:rsidRPr="00C7005D" w:rsidRDefault="00665FA7" w:rsidP="00A85656">
      <w:pPr>
        <w:pStyle w:val="ListParagraph"/>
        <w:numPr>
          <w:ilvl w:val="0"/>
          <w:numId w:val="45"/>
        </w:numPr>
        <w:spacing w:after="160" w:line="280" w:lineRule="exact"/>
        <w:ind w:left="284" w:hanging="284"/>
        <w:jc w:val="both"/>
        <w:rPr>
          <w:rFonts w:ascii="Arial" w:hAnsi="Arial" w:cs="Arial"/>
          <w:bCs/>
          <w:sz w:val="22"/>
          <w:lang w:val="el-GR"/>
        </w:rPr>
      </w:pPr>
      <w:r w:rsidRPr="00C7005D">
        <w:rPr>
          <w:rFonts w:ascii="Arial" w:hAnsi="Arial" w:cs="Arial"/>
          <w:b/>
          <w:sz w:val="22"/>
          <w:lang w:val="el-GR"/>
        </w:rPr>
        <w:t xml:space="preserve">Προσαρμοσμένο </w:t>
      </w:r>
      <w:r w:rsidR="00436AAD" w:rsidRPr="00A85656">
        <w:rPr>
          <w:rFonts w:ascii="Arial" w:hAnsi="Arial" w:cs="Arial"/>
          <w:b/>
          <w:sz w:val="22"/>
        </w:rPr>
        <w:t>EBITDA</w:t>
      </w:r>
      <w:r w:rsidRPr="00C7005D">
        <w:rPr>
          <w:rFonts w:ascii="Arial" w:hAnsi="Arial" w:cs="Arial"/>
          <w:b/>
          <w:sz w:val="22"/>
          <w:lang w:val="el-GR"/>
        </w:rPr>
        <w:t xml:space="preserve"> (</w:t>
      </w:r>
      <w:r w:rsidRPr="00A85656">
        <w:rPr>
          <w:rFonts w:ascii="Arial" w:hAnsi="Arial" w:cs="Arial"/>
          <w:b/>
          <w:sz w:val="22"/>
        </w:rPr>
        <w:t>AL</w:t>
      </w:r>
      <w:r w:rsidR="00436AAD" w:rsidRPr="00C7005D">
        <w:rPr>
          <w:rFonts w:ascii="Arial" w:hAnsi="Arial" w:cs="Arial"/>
          <w:b/>
          <w:sz w:val="22"/>
          <w:lang w:val="el-GR"/>
        </w:rPr>
        <w:t>):</w:t>
      </w:r>
      <w:r w:rsidR="00436AAD" w:rsidRPr="00C7005D">
        <w:rPr>
          <w:rFonts w:ascii="Arial" w:hAnsi="Arial" w:cs="Arial"/>
          <w:bCs/>
          <w:sz w:val="22"/>
          <w:lang w:val="el-GR"/>
        </w:rPr>
        <w:t xml:space="preserve"> </w:t>
      </w:r>
      <w:r w:rsidR="00436AAD" w:rsidRPr="00A85656">
        <w:rPr>
          <w:rFonts w:ascii="Arial" w:hAnsi="Arial" w:cs="Arial"/>
          <w:bCs/>
          <w:sz w:val="22"/>
        </w:rPr>
        <w:t>O</w:t>
      </w:r>
      <w:r w:rsidR="00436AAD" w:rsidRPr="00C7005D">
        <w:rPr>
          <w:rFonts w:ascii="Arial" w:hAnsi="Arial" w:cs="Arial"/>
          <w:bCs/>
          <w:sz w:val="22"/>
          <w:lang w:val="el-GR"/>
        </w:rPr>
        <w:t xml:space="preserve"> </w:t>
      </w:r>
      <w:r w:rsidR="00436AAD" w:rsidRPr="00A85656">
        <w:rPr>
          <w:rFonts w:ascii="Arial" w:hAnsi="Arial" w:cs="Arial"/>
          <w:bCs/>
          <w:sz w:val="22"/>
        </w:rPr>
        <w:t>OTE</w:t>
      </w:r>
      <w:r w:rsidR="00436AAD" w:rsidRPr="00C7005D">
        <w:rPr>
          <w:rFonts w:ascii="Arial" w:hAnsi="Arial" w:cs="Arial"/>
          <w:bCs/>
          <w:sz w:val="22"/>
          <w:lang w:val="el-GR"/>
        </w:rPr>
        <w:t xml:space="preserve"> αναμένει αύξηση του </w:t>
      </w:r>
      <w:r w:rsidR="00436AAD" w:rsidRPr="00A85656">
        <w:rPr>
          <w:rFonts w:ascii="Arial" w:hAnsi="Arial" w:cs="Arial"/>
          <w:bCs/>
          <w:sz w:val="22"/>
        </w:rPr>
        <w:t>EBITDA</w:t>
      </w:r>
      <w:r w:rsidR="00436AAD" w:rsidRPr="00C7005D">
        <w:rPr>
          <w:rFonts w:ascii="Arial" w:hAnsi="Arial" w:cs="Arial"/>
          <w:bCs/>
          <w:sz w:val="22"/>
          <w:lang w:val="el-GR"/>
        </w:rPr>
        <w:t xml:space="preserve"> στην Ελλάδα</w:t>
      </w:r>
      <w:r w:rsidR="00CA2411" w:rsidRPr="00C7005D">
        <w:rPr>
          <w:rFonts w:ascii="Arial" w:hAnsi="Arial" w:cs="Arial"/>
          <w:bCs/>
          <w:sz w:val="22"/>
          <w:lang w:val="el-GR"/>
        </w:rPr>
        <w:t xml:space="preserve"> κατά</w:t>
      </w:r>
      <w:r w:rsidR="00436AAD" w:rsidRPr="00C7005D">
        <w:rPr>
          <w:rFonts w:ascii="Arial" w:hAnsi="Arial" w:cs="Arial"/>
          <w:bCs/>
          <w:sz w:val="22"/>
          <w:lang w:val="el-GR"/>
        </w:rPr>
        <w:t xml:space="preserve"> περίπου 2%, υποστηριζόμεν</w:t>
      </w:r>
      <w:r w:rsidR="00436AAD" w:rsidRPr="00A85656">
        <w:rPr>
          <w:rFonts w:ascii="Arial" w:hAnsi="Arial" w:cs="Arial"/>
          <w:bCs/>
          <w:sz w:val="22"/>
        </w:rPr>
        <w:t>o</w:t>
      </w:r>
      <w:r w:rsidR="00436AAD" w:rsidRPr="00C7005D">
        <w:rPr>
          <w:rFonts w:ascii="Arial" w:hAnsi="Arial" w:cs="Arial"/>
          <w:bCs/>
          <w:sz w:val="22"/>
          <w:lang w:val="el-GR"/>
        </w:rPr>
        <w:t xml:space="preserve"> από ισχυρές επιδόσεις στους βασικούς τομείς, όπως κινητή, ευρυζωνικές υπηρεσίες και τηλεόραση, σε συνδυασμό με αποτελεσματική διαχείριση κόστους σε διάφορους τομείς</w:t>
      </w:r>
      <w:r w:rsidR="00E17525" w:rsidRPr="00C7005D">
        <w:rPr>
          <w:rFonts w:ascii="Arial" w:hAnsi="Arial" w:cs="Arial"/>
          <w:bCs/>
          <w:sz w:val="22"/>
          <w:lang w:val="el-GR"/>
        </w:rPr>
        <w:t>.</w:t>
      </w:r>
    </w:p>
    <w:p w14:paraId="4CB06C01" w14:textId="77777777" w:rsidR="00E17525" w:rsidRDefault="00E17525" w:rsidP="00E17525">
      <w:pPr>
        <w:pStyle w:val="ListParagraph"/>
        <w:ind w:left="284"/>
        <w:jc w:val="both"/>
        <w:rPr>
          <w:rFonts w:ascii="Arial" w:hAnsi="Arial" w:cs="Arial"/>
          <w:b/>
          <w:color w:val="00B0F0"/>
          <w:sz w:val="24"/>
          <w:szCs w:val="24"/>
          <w:lang w:val="el-GR"/>
        </w:rPr>
      </w:pPr>
    </w:p>
    <w:p w14:paraId="1995555C" w14:textId="33A7C008" w:rsidR="00051E74" w:rsidRPr="00051E74" w:rsidRDefault="006E0597" w:rsidP="00051E7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ΑΜΟΙΒΕΣ</w:t>
      </w:r>
      <w:r w:rsidR="00051E74" w:rsidRPr="00051E74">
        <w:rPr>
          <w:rFonts w:ascii="Arial" w:eastAsia="Times New Roman" w:hAnsi="Arial" w:cs="Arial"/>
          <w:b/>
          <w:color w:val="00B0F0"/>
          <w:sz w:val="24"/>
          <w:szCs w:val="24"/>
        </w:rPr>
        <w:t xml:space="preserve"> </w:t>
      </w:r>
      <w:r w:rsidRPr="00051E74">
        <w:rPr>
          <w:rFonts w:ascii="Arial" w:eastAsia="Times New Roman" w:hAnsi="Arial" w:cs="Arial"/>
          <w:b/>
          <w:color w:val="00B0F0"/>
          <w:sz w:val="24"/>
          <w:szCs w:val="24"/>
        </w:rPr>
        <w:t xml:space="preserve">ΠΡΟΣ ΤΟΥΣ ΜΕΤΟΧΟΥΣ ΓΙΑ ΤΟ </w:t>
      </w:r>
      <w:r w:rsidR="00051E74" w:rsidRPr="00051E74">
        <w:rPr>
          <w:rFonts w:ascii="Arial" w:eastAsia="Times New Roman" w:hAnsi="Arial" w:cs="Arial"/>
          <w:b/>
          <w:color w:val="00B0F0"/>
          <w:sz w:val="24"/>
          <w:szCs w:val="24"/>
        </w:rPr>
        <w:t>2025</w:t>
      </w:r>
    </w:p>
    <w:p w14:paraId="6C55D11C" w14:textId="337C4574" w:rsidR="00AC74E2" w:rsidRDefault="00051E74" w:rsidP="00AC74E2">
      <w:pPr>
        <w:spacing w:after="0" w:line="240" w:lineRule="auto"/>
        <w:jc w:val="both"/>
        <w:rPr>
          <w:rFonts w:ascii="Arial" w:hAnsi="Arial" w:cs="Arial"/>
          <w:color w:val="000000"/>
        </w:rPr>
      </w:pPr>
      <w:r w:rsidRPr="00A0061C">
        <w:rPr>
          <w:rFonts w:ascii="Arial" w:eastAsia="Times New Roman" w:hAnsi="Arial" w:cs="Arial"/>
          <w:noProof/>
          <w:szCs w:val="20"/>
          <w:lang w:val="en-US"/>
        </w:rPr>
        <mc:AlternateContent>
          <mc:Choice Requires="wps">
            <w:drawing>
              <wp:anchor distT="0" distB="0" distL="114300" distR="114300" simplePos="0" relativeHeight="251658244" behindDoc="0" locked="0" layoutInCell="1" allowOverlap="1" wp14:anchorId="1FACC1D8" wp14:editId="41953A55">
                <wp:simplePos x="0" y="0"/>
                <wp:positionH relativeFrom="column">
                  <wp:posOffset>2752</wp:posOffset>
                </wp:positionH>
                <wp:positionV relativeFrom="paragraph">
                  <wp:posOffset>11642</wp:posOffset>
                </wp:positionV>
                <wp:extent cx="664083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D8713"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AC74E2" w:rsidRPr="00A0061C">
        <w:rPr>
          <w:rFonts w:ascii="Arial" w:eastAsia="Times New Roman" w:hAnsi="Arial" w:cs="Arial"/>
          <w:szCs w:val="20"/>
        </w:rPr>
        <w:t xml:space="preserve">Ο ΟΤΕ προτίθεται να διανείμει το 98% </w:t>
      </w:r>
      <w:r w:rsidR="00CA2411" w:rsidRPr="00A0061C">
        <w:rPr>
          <w:rFonts w:ascii="Arial" w:eastAsia="Times New Roman" w:hAnsi="Arial" w:cs="Arial"/>
          <w:szCs w:val="20"/>
        </w:rPr>
        <w:t xml:space="preserve">περίπου </w:t>
      </w:r>
      <w:r w:rsidR="00AC74E2" w:rsidRPr="00A0061C">
        <w:rPr>
          <w:rFonts w:ascii="Arial" w:eastAsia="Times New Roman" w:hAnsi="Arial" w:cs="Arial"/>
          <w:szCs w:val="20"/>
        </w:rPr>
        <w:t>των</w:t>
      </w:r>
      <w:r w:rsidR="00A0061C">
        <w:rPr>
          <w:rFonts w:ascii="Arial" w:eastAsia="Times New Roman" w:hAnsi="Arial" w:cs="Arial"/>
          <w:szCs w:val="20"/>
        </w:rPr>
        <w:t xml:space="preserve"> αναμενόμενων</w:t>
      </w:r>
      <w:r w:rsidR="00AC74E2" w:rsidRPr="00A0061C">
        <w:rPr>
          <w:rFonts w:ascii="Arial" w:eastAsia="Times New Roman" w:hAnsi="Arial" w:cs="Arial"/>
          <w:szCs w:val="20"/>
        </w:rPr>
        <w:t xml:space="preserve"> ελεύθερων ταμειακών ροών για το 2025</w:t>
      </w:r>
      <w:r w:rsidR="005B1057" w:rsidRPr="004F331D">
        <w:rPr>
          <w:rFonts w:ascii="Arial" w:eastAsia="Times New Roman" w:hAnsi="Arial" w:cs="Arial"/>
          <w:szCs w:val="20"/>
        </w:rPr>
        <w:t xml:space="preserve"> </w:t>
      </w:r>
      <w:r w:rsidR="005B1057">
        <w:rPr>
          <w:rFonts w:ascii="Arial" w:eastAsia="Times New Roman" w:hAnsi="Arial" w:cs="Arial"/>
          <w:szCs w:val="20"/>
        </w:rPr>
        <w:t xml:space="preserve">ύψους </w:t>
      </w:r>
      <w:r w:rsidR="005B1057" w:rsidRPr="00C7005D">
        <w:rPr>
          <w:rFonts w:ascii="Arial" w:hAnsi="Arial" w:cs="Arial"/>
          <w:bCs/>
        </w:rPr>
        <w:t>€460 εκατ.</w:t>
      </w:r>
      <w:r w:rsidR="005B1057">
        <w:rPr>
          <w:rFonts w:ascii="Arial" w:hAnsi="Arial" w:cs="Arial"/>
          <w:bCs/>
        </w:rPr>
        <w:t xml:space="preserve"> περίπου</w:t>
      </w:r>
      <w:r w:rsidR="00AC74E2" w:rsidRPr="00A0061C">
        <w:rPr>
          <w:rFonts w:ascii="Arial" w:eastAsia="Times New Roman" w:hAnsi="Arial" w:cs="Arial"/>
          <w:szCs w:val="20"/>
        </w:rPr>
        <w:t xml:space="preserve">. </w:t>
      </w:r>
      <w:r w:rsidR="00AC74E2" w:rsidRPr="00C7005D">
        <w:rPr>
          <w:rFonts w:ascii="Arial" w:eastAsia="Times New Roman" w:hAnsi="Arial" w:cs="Arial"/>
          <w:szCs w:val="20"/>
        </w:rPr>
        <w:t xml:space="preserve">Η συνολική Αμοιβή προς τους Μετόχους για το 2025 θα ανέλθει σε περίπου €451 εκατ. και θα επιμεριστεί σε προτεινόμενο μέρισμα αξίας €298 εκατ. και σε Πρόγραμμα Απόκτησης Ιδίων Μετοχών ύψους €153 εκατ. περίπου. </w:t>
      </w:r>
      <w:r w:rsidR="00BA379C" w:rsidRPr="00A0061C">
        <w:rPr>
          <w:rFonts w:ascii="Arial" w:eastAsia="Times New Roman" w:hAnsi="Arial" w:cs="Arial"/>
          <w:szCs w:val="20"/>
        </w:rPr>
        <w:t xml:space="preserve">Σε περίπτωση που η πώληση της </w:t>
      </w:r>
      <w:r w:rsidR="00BA379C" w:rsidRPr="00A0061C">
        <w:rPr>
          <w:rFonts w:ascii="Arial" w:eastAsia="Times New Roman" w:hAnsi="Arial" w:cs="Arial"/>
          <w:szCs w:val="20"/>
          <w:lang w:val="en-US"/>
        </w:rPr>
        <w:t>TELEKOM</w:t>
      </w:r>
      <w:r w:rsidR="00BA379C" w:rsidRPr="00A0061C">
        <w:rPr>
          <w:rFonts w:ascii="Arial" w:eastAsia="Times New Roman" w:hAnsi="Arial" w:cs="Arial"/>
          <w:szCs w:val="20"/>
        </w:rPr>
        <w:t xml:space="preserve"> </w:t>
      </w:r>
      <w:r w:rsidR="00BA379C" w:rsidRPr="00A0061C">
        <w:rPr>
          <w:rFonts w:ascii="Arial" w:eastAsia="Times New Roman" w:hAnsi="Arial" w:cs="Arial"/>
          <w:szCs w:val="20"/>
          <w:lang w:val="en-US"/>
        </w:rPr>
        <w:t>ROMANIA</w:t>
      </w:r>
      <w:r w:rsidR="00BA379C" w:rsidRPr="00A0061C">
        <w:rPr>
          <w:rFonts w:ascii="Arial" w:eastAsia="Times New Roman" w:hAnsi="Arial" w:cs="Arial"/>
          <w:szCs w:val="20"/>
        </w:rPr>
        <w:t xml:space="preserve"> </w:t>
      </w:r>
      <w:r w:rsidR="00BA379C" w:rsidRPr="00A0061C">
        <w:rPr>
          <w:rFonts w:ascii="Arial" w:eastAsia="Times New Roman" w:hAnsi="Arial" w:cs="Arial"/>
          <w:szCs w:val="20"/>
          <w:lang w:val="en-US"/>
        </w:rPr>
        <w:t>MOBILE</w:t>
      </w:r>
      <w:r w:rsidR="00BA379C" w:rsidRPr="00A0061C">
        <w:rPr>
          <w:rFonts w:ascii="Arial" w:eastAsia="Times New Roman" w:hAnsi="Arial" w:cs="Arial"/>
          <w:szCs w:val="20"/>
        </w:rPr>
        <w:t xml:space="preserve"> ολοκληρωθεί επιτυχώς μέσα στο 2025 και αναλόγως το αποτέλεσμα, το προτεινόμενο ποσό για την αμοιβή </w:t>
      </w:r>
      <w:r w:rsidR="00BA379C" w:rsidRPr="00A0061C">
        <w:rPr>
          <w:rFonts w:ascii="Arial" w:eastAsia="Times New Roman" w:hAnsi="Arial" w:cs="Arial"/>
          <w:szCs w:val="20"/>
        </w:rPr>
        <w:lastRenderedPageBreak/>
        <w:t>των μετόχων θα προσαρμοστεί κατάλληλα ώστε να αντικατοπτρίζει τον πραγματικό αντίκτυπο στις ελεύθερες ταμειακές ροές του Ομίλου</w:t>
      </w:r>
      <w:r w:rsidR="00B06E3F" w:rsidRPr="00A0061C">
        <w:rPr>
          <w:rFonts w:ascii="Arial" w:eastAsia="Times New Roman" w:hAnsi="Arial" w:cs="Arial"/>
          <w:szCs w:val="20"/>
        </w:rPr>
        <w:t xml:space="preserve">. </w:t>
      </w:r>
      <w:r w:rsidR="00AC74E2" w:rsidRPr="00A0061C">
        <w:rPr>
          <w:rFonts w:ascii="Arial" w:eastAsia="Times New Roman" w:hAnsi="Arial" w:cs="Arial"/>
          <w:szCs w:val="20"/>
          <w:lang w:val="en-US"/>
        </w:rPr>
        <w:t>To</w:t>
      </w:r>
      <w:r w:rsidR="00AC74E2" w:rsidRPr="00C7005D">
        <w:rPr>
          <w:rFonts w:ascii="Arial" w:eastAsia="Times New Roman" w:hAnsi="Arial" w:cs="Arial"/>
          <w:szCs w:val="20"/>
        </w:rPr>
        <w:t xml:space="preserve"> προτεινόμενο μέρισμα αντιστοιχεί σε €0,72</w:t>
      </w:r>
      <w:r w:rsidR="00FF3775" w:rsidRPr="00C7005D">
        <w:rPr>
          <w:rFonts w:ascii="Arial" w:eastAsia="Times New Roman" w:hAnsi="Arial" w:cs="Arial"/>
          <w:szCs w:val="20"/>
        </w:rPr>
        <w:t>16</w:t>
      </w:r>
      <w:r w:rsidR="00AC74E2" w:rsidRPr="00C7005D">
        <w:rPr>
          <w:rFonts w:ascii="Arial" w:eastAsia="Times New Roman" w:hAnsi="Arial" w:cs="Arial"/>
          <w:szCs w:val="20"/>
        </w:rPr>
        <w:t xml:space="preserve"> ανά μετοχή. Το μέρισμα θα καταβληθεί, κατόπιν έγκρισής του από τη Γενική Συνέλευση των Μετόχων. Σημειώνεται ότι οι ίδιες μετοχές που θα κατέχει η Εταιρεία κατά την ημερομηνία αποκοπής του μερίσματος, δεν δικαιούνται μέρισμα. Συνεπώς, το μέρισμα που θα αντιστοιχεί σε αυτές τις ίδιες μετοχές, θα προσαυξήσει το μέρισμα των λοιπών μετόχων σύμφωνα με το νόμο</w:t>
      </w:r>
      <w:r w:rsidR="00AC74E2" w:rsidRPr="00AC74E2">
        <w:rPr>
          <w:rFonts w:ascii="Arial" w:eastAsia="Times New Roman" w:hAnsi="Arial" w:cs="Arial"/>
          <w:szCs w:val="20"/>
        </w:rPr>
        <w:t>.</w:t>
      </w:r>
      <w:r w:rsidR="00AC74E2">
        <w:rPr>
          <w:sz w:val="20"/>
          <w:szCs w:val="20"/>
        </w:rPr>
        <w:t xml:space="preserve"> </w:t>
      </w:r>
      <w:r w:rsidR="00CA2411">
        <w:rPr>
          <w:sz w:val="20"/>
          <w:szCs w:val="20"/>
        </w:rPr>
        <w:t xml:space="preserve"> </w:t>
      </w:r>
    </w:p>
    <w:p w14:paraId="113673E9" w14:textId="77777777" w:rsidR="00AC74E2" w:rsidRDefault="00AC74E2" w:rsidP="00B20AD8">
      <w:pPr>
        <w:spacing w:after="0" w:line="240" w:lineRule="auto"/>
        <w:jc w:val="both"/>
        <w:rPr>
          <w:rFonts w:ascii="Arial" w:eastAsia="Times New Roman" w:hAnsi="Arial" w:cs="Arial"/>
          <w:b/>
          <w:szCs w:val="20"/>
          <w:u w:val="single"/>
        </w:rPr>
      </w:pPr>
    </w:p>
    <w:p w14:paraId="11D65587" w14:textId="12A1C46C" w:rsidR="00051E74" w:rsidRPr="00051E74" w:rsidRDefault="00CA2411" w:rsidP="00051E7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Ο</w:t>
      </w:r>
      <w:r w:rsidR="00725B5E">
        <w:rPr>
          <w:rFonts w:ascii="Arial" w:eastAsia="Times New Roman" w:hAnsi="Arial" w:cs="Arial"/>
          <w:b/>
          <w:color w:val="00B0F0"/>
          <w:sz w:val="24"/>
          <w:szCs w:val="24"/>
        </w:rPr>
        <w:t>ΜΙΛΟΣ</w:t>
      </w:r>
      <w:r w:rsidR="00051E74">
        <w:rPr>
          <w:rFonts w:ascii="Arial" w:eastAsia="Times New Roman" w:hAnsi="Arial" w:cs="Arial"/>
          <w:b/>
          <w:color w:val="00B0F0"/>
          <w:sz w:val="24"/>
          <w:szCs w:val="24"/>
        </w:rPr>
        <w:t xml:space="preserve"> ΟΤΕ</w:t>
      </w:r>
    </w:p>
    <w:p w14:paraId="710ADCF9" w14:textId="2EA2AEBF" w:rsidR="000D0C7C" w:rsidRPr="006E0597" w:rsidRDefault="00051E74" w:rsidP="006E0597">
      <w:pPr>
        <w:spacing w:before="120" w:line="280" w:lineRule="exact"/>
        <w:jc w:val="both"/>
        <w:rPr>
          <w:rFonts w:ascii="Arial" w:hAnsi="Arial" w:cs="Arial"/>
        </w:rPr>
      </w:pPr>
      <w:r w:rsidRPr="006E0597">
        <w:rPr>
          <w:rFonts w:ascii="Arial" w:hAnsi="Arial" w:cs="Arial"/>
          <w:b/>
          <w:bCs/>
          <w:noProof/>
        </w:rPr>
        <mc:AlternateContent>
          <mc:Choice Requires="wps">
            <w:drawing>
              <wp:anchor distT="0" distB="0" distL="114300" distR="114300" simplePos="0" relativeHeight="251658245" behindDoc="0" locked="0" layoutInCell="1" allowOverlap="1" wp14:anchorId="010AC34A" wp14:editId="0A80DC79">
                <wp:simplePos x="0" y="0"/>
                <wp:positionH relativeFrom="column">
                  <wp:posOffset>2752</wp:posOffset>
                </wp:positionH>
                <wp:positionV relativeFrom="paragraph">
                  <wp:posOffset>11642</wp:posOffset>
                </wp:positionV>
                <wp:extent cx="664083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545FE" id="Straight Connector 10"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D739F0" w:rsidRPr="006E0597">
        <w:rPr>
          <w:rFonts w:ascii="Arial" w:hAnsi="Arial" w:cs="Arial"/>
          <w:b/>
          <w:bCs/>
        </w:rPr>
        <w:t xml:space="preserve">Τα ενοποιημένα έσοδα του Ομίλου </w:t>
      </w:r>
      <w:r w:rsidR="00FF3775" w:rsidRPr="006E0597">
        <w:rPr>
          <w:rFonts w:ascii="Arial" w:hAnsi="Arial" w:cs="Arial"/>
        </w:rPr>
        <w:t>τ</w:t>
      </w:r>
      <w:r w:rsidR="00D7271A" w:rsidRPr="006E0597">
        <w:rPr>
          <w:rFonts w:ascii="Arial" w:hAnsi="Arial" w:cs="Arial"/>
        </w:rPr>
        <w:t xml:space="preserve">ο </w:t>
      </w:r>
      <w:r w:rsidR="00FF3775" w:rsidRPr="006E0597">
        <w:rPr>
          <w:rFonts w:ascii="Arial" w:hAnsi="Arial" w:cs="Arial"/>
        </w:rPr>
        <w:t>Δ</w:t>
      </w:r>
      <w:r w:rsidR="009E285A" w:rsidRPr="006E0597">
        <w:rPr>
          <w:rFonts w:ascii="Arial" w:hAnsi="Arial" w:cs="Arial"/>
        </w:rPr>
        <w:t>’ τρίμηνο του 202</w:t>
      </w:r>
      <w:r w:rsidR="00671574" w:rsidRPr="006E0597">
        <w:rPr>
          <w:rFonts w:ascii="Arial" w:hAnsi="Arial" w:cs="Arial"/>
        </w:rPr>
        <w:t>4</w:t>
      </w:r>
      <w:r w:rsidR="00CF2C0C" w:rsidRPr="006E0597">
        <w:rPr>
          <w:rFonts w:ascii="Arial" w:hAnsi="Arial" w:cs="Arial"/>
        </w:rPr>
        <w:t xml:space="preserve"> </w:t>
      </w:r>
      <w:r w:rsidR="009E285A" w:rsidRPr="006E0597">
        <w:rPr>
          <w:rFonts w:ascii="Arial" w:hAnsi="Arial" w:cs="Arial"/>
        </w:rPr>
        <w:t xml:space="preserve"> </w:t>
      </w:r>
      <w:r w:rsidR="00FF3775" w:rsidRPr="006E0597">
        <w:rPr>
          <w:rFonts w:ascii="Arial" w:hAnsi="Arial" w:cs="Arial"/>
        </w:rPr>
        <w:t>μειώθηκαν</w:t>
      </w:r>
      <w:r w:rsidR="009E285A" w:rsidRPr="006E0597">
        <w:rPr>
          <w:rFonts w:ascii="Arial" w:hAnsi="Arial" w:cs="Arial"/>
        </w:rPr>
        <w:t xml:space="preserve"> κατά </w:t>
      </w:r>
      <w:r w:rsidR="00FF3775" w:rsidRPr="006E0597">
        <w:rPr>
          <w:rFonts w:ascii="Arial" w:hAnsi="Arial" w:cs="Arial"/>
        </w:rPr>
        <w:t>2,7</w:t>
      </w:r>
      <w:r w:rsidR="009E285A" w:rsidRPr="006E0597">
        <w:rPr>
          <w:rFonts w:ascii="Arial" w:hAnsi="Arial" w:cs="Arial"/>
        </w:rPr>
        <w:t>% και διαμορφώθηκαν σε €</w:t>
      </w:r>
      <w:r w:rsidR="00C31D3D" w:rsidRPr="006E0597">
        <w:rPr>
          <w:rFonts w:ascii="Arial" w:hAnsi="Arial" w:cs="Arial"/>
        </w:rPr>
        <w:t>905,3</w:t>
      </w:r>
      <w:r w:rsidR="009E285A" w:rsidRPr="006E0597">
        <w:rPr>
          <w:rFonts w:ascii="Arial" w:hAnsi="Arial" w:cs="Arial"/>
        </w:rPr>
        <w:t xml:space="preserve"> εκατ.</w:t>
      </w:r>
      <w:r w:rsidR="00C97E14" w:rsidRPr="006E0597">
        <w:rPr>
          <w:rFonts w:ascii="Arial" w:hAnsi="Arial" w:cs="Arial"/>
        </w:rPr>
        <w:t xml:space="preserve">, </w:t>
      </w:r>
      <w:r w:rsidR="00E81331" w:rsidRPr="006E0597">
        <w:rPr>
          <w:rFonts w:ascii="Arial" w:hAnsi="Arial" w:cs="Arial"/>
        </w:rPr>
        <w:t>κυρίως</w:t>
      </w:r>
      <w:r w:rsidR="00C97E14" w:rsidRPr="006E0597">
        <w:rPr>
          <w:rFonts w:ascii="Arial" w:hAnsi="Arial" w:cs="Arial"/>
        </w:rPr>
        <w:t xml:space="preserve"> </w:t>
      </w:r>
      <w:r w:rsidR="00C31D3D" w:rsidRPr="006E0597">
        <w:rPr>
          <w:rFonts w:ascii="Arial" w:hAnsi="Arial" w:cs="Arial"/>
        </w:rPr>
        <w:t>λόγω σημαντικής μείωσης στις υπηρεσίες διεθνούς χονδρικής</w:t>
      </w:r>
      <w:r w:rsidR="00CA2411" w:rsidRPr="006E0597">
        <w:rPr>
          <w:rFonts w:ascii="Arial" w:hAnsi="Arial" w:cs="Arial"/>
        </w:rPr>
        <w:t xml:space="preserve"> (</w:t>
      </w:r>
      <w:r w:rsidR="00A10E4E" w:rsidRPr="006E0597">
        <w:rPr>
          <w:rFonts w:ascii="Arial" w:hAnsi="Arial" w:cs="Arial"/>
        </w:rPr>
        <w:t xml:space="preserve">χαμηλού </w:t>
      </w:r>
      <w:r w:rsidR="00664544" w:rsidRPr="006E0597">
        <w:rPr>
          <w:rFonts w:ascii="Arial" w:hAnsi="Arial" w:cs="Arial"/>
        </w:rPr>
        <w:t xml:space="preserve">ωστόσο </w:t>
      </w:r>
      <w:r w:rsidR="00A10E4E" w:rsidRPr="006E0597">
        <w:rPr>
          <w:rFonts w:ascii="Arial" w:hAnsi="Arial" w:cs="Arial"/>
        </w:rPr>
        <w:t xml:space="preserve">περιθωρίου </w:t>
      </w:r>
      <w:r w:rsidR="00CF2C0C" w:rsidRPr="006E0597">
        <w:rPr>
          <w:rFonts w:ascii="Arial" w:hAnsi="Arial" w:cs="Arial"/>
        </w:rPr>
        <w:t>κέρδους στην Ελλάδα</w:t>
      </w:r>
      <w:r w:rsidR="00CA2411" w:rsidRPr="006E0597">
        <w:rPr>
          <w:rFonts w:ascii="Arial" w:hAnsi="Arial" w:cs="Arial"/>
        </w:rPr>
        <w:t>)</w:t>
      </w:r>
      <w:r w:rsidR="00CF2C0C" w:rsidRPr="006E0597">
        <w:rPr>
          <w:rFonts w:ascii="Arial" w:hAnsi="Arial" w:cs="Arial"/>
        </w:rPr>
        <w:t xml:space="preserve"> και </w:t>
      </w:r>
      <w:r w:rsidR="00AA03AC">
        <w:rPr>
          <w:rFonts w:ascii="Arial" w:hAnsi="Arial" w:cs="Arial"/>
        </w:rPr>
        <w:t>των</w:t>
      </w:r>
      <w:r w:rsidR="00CF2C0C" w:rsidRPr="006E0597">
        <w:rPr>
          <w:rFonts w:ascii="Arial" w:hAnsi="Arial" w:cs="Arial"/>
        </w:rPr>
        <w:t xml:space="preserve"> συνεχιζόμεν</w:t>
      </w:r>
      <w:r w:rsidR="00AA03AC">
        <w:rPr>
          <w:rFonts w:ascii="Arial" w:hAnsi="Arial" w:cs="Arial"/>
        </w:rPr>
        <w:t>ων</w:t>
      </w:r>
      <w:r w:rsidR="00CF2C0C" w:rsidRPr="006E0597">
        <w:rPr>
          <w:rFonts w:ascii="Arial" w:hAnsi="Arial" w:cs="Arial"/>
        </w:rPr>
        <w:t xml:space="preserve"> προκλήσε</w:t>
      </w:r>
      <w:r w:rsidR="00AA03AC">
        <w:rPr>
          <w:rFonts w:ascii="Arial" w:hAnsi="Arial" w:cs="Arial"/>
        </w:rPr>
        <w:t>ων</w:t>
      </w:r>
      <w:r w:rsidR="00CF2C0C" w:rsidRPr="006E0597">
        <w:rPr>
          <w:rFonts w:ascii="Arial" w:hAnsi="Arial" w:cs="Arial"/>
        </w:rPr>
        <w:t xml:space="preserve"> στις δραστηριότητες στην Ρουμανία.</w:t>
      </w:r>
      <w:r w:rsidR="00C31D3D" w:rsidRPr="006E0597">
        <w:rPr>
          <w:rFonts w:ascii="Arial" w:hAnsi="Arial" w:cs="Arial"/>
        </w:rPr>
        <w:t xml:space="preserve">  </w:t>
      </w:r>
      <w:r w:rsidR="009E285A" w:rsidRPr="006E0597">
        <w:rPr>
          <w:rFonts w:ascii="Arial" w:hAnsi="Arial" w:cs="Arial"/>
        </w:rPr>
        <w:t xml:space="preserve">Στην Ελλάδα, τα έσοδα </w:t>
      </w:r>
      <w:r w:rsidR="00984937" w:rsidRPr="006E0597">
        <w:rPr>
          <w:rFonts w:ascii="Arial" w:hAnsi="Arial" w:cs="Arial"/>
        </w:rPr>
        <w:t>μειώθηκαν</w:t>
      </w:r>
      <w:r w:rsidR="009E285A" w:rsidRPr="006E0597">
        <w:rPr>
          <w:rFonts w:ascii="Arial" w:hAnsi="Arial" w:cs="Arial"/>
        </w:rPr>
        <w:t xml:space="preserve"> κατά </w:t>
      </w:r>
      <w:r w:rsidR="00984937" w:rsidRPr="006E0597">
        <w:rPr>
          <w:rFonts w:ascii="Arial" w:hAnsi="Arial" w:cs="Arial"/>
        </w:rPr>
        <w:t>1</w:t>
      </w:r>
      <w:r w:rsidR="003D3FCD" w:rsidRPr="006E0597">
        <w:rPr>
          <w:rFonts w:ascii="Arial" w:hAnsi="Arial" w:cs="Arial"/>
        </w:rPr>
        <w:t>,</w:t>
      </w:r>
      <w:r w:rsidR="00984937" w:rsidRPr="006E0597">
        <w:rPr>
          <w:rFonts w:ascii="Arial" w:hAnsi="Arial" w:cs="Arial"/>
        </w:rPr>
        <w:t>4</w:t>
      </w:r>
      <w:r w:rsidR="009E285A" w:rsidRPr="006E0597">
        <w:rPr>
          <w:rFonts w:ascii="Arial" w:hAnsi="Arial" w:cs="Arial"/>
        </w:rPr>
        <w:t>%</w:t>
      </w:r>
      <w:r w:rsidR="003B1E6C" w:rsidRPr="006E0597">
        <w:rPr>
          <w:rFonts w:ascii="Arial" w:hAnsi="Arial" w:cs="Arial"/>
        </w:rPr>
        <w:t>,</w:t>
      </w:r>
      <w:r w:rsidR="00727CF6" w:rsidRPr="006E0597">
        <w:rPr>
          <w:rFonts w:ascii="Arial" w:hAnsi="Arial" w:cs="Arial"/>
        </w:rPr>
        <w:t xml:space="preserve"> </w:t>
      </w:r>
      <w:r w:rsidR="00984937" w:rsidRPr="006E0597">
        <w:rPr>
          <w:rFonts w:ascii="Arial" w:hAnsi="Arial" w:cs="Arial"/>
        </w:rPr>
        <w:t xml:space="preserve">καθώς η θετική δυναμική ανάπτυξης </w:t>
      </w:r>
      <w:r w:rsidR="009E285A" w:rsidRPr="006E0597">
        <w:rPr>
          <w:rFonts w:ascii="Arial" w:hAnsi="Arial" w:cs="Arial"/>
        </w:rPr>
        <w:t xml:space="preserve">στην κινητή, </w:t>
      </w:r>
      <w:r w:rsidR="008656FA" w:rsidRPr="006E0597">
        <w:rPr>
          <w:rFonts w:ascii="Arial" w:hAnsi="Arial" w:cs="Arial"/>
        </w:rPr>
        <w:t xml:space="preserve">τις υπηρεσίες τηλεόρασης, </w:t>
      </w:r>
      <w:r w:rsidR="009E285A" w:rsidRPr="006E0597">
        <w:rPr>
          <w:rFonts w:ascii="Arial" w:hAnsi="Arial" w:cs="Arial"/>
        </w:rPr>
        <w:t>και</w:t>
      </w:r>
      <w:r w:rsidR="007046A8" w:rsidRPr="006E0597">
        <w:rPr>
          <w:rFonts w:ascii="Arial" w:hAnsi="Arial" w:cs="Arial"/>
        </w:rPr>
        <w:t xml:space="preserve"> τα</w:t>
      </w:r>
      <w:r w:rsidR="009E285A" w:rsidRPr="006E0597">
        <w:rPr>
          <w:rFonts w:ascii="Arial" w:hAnsi="Arial" w:cs="Arial"/>
        </w:rPr>
        <w:t xml:space="preserve"> έργα ICT</w:t>
      </w:r>
      <w:r w:rsidR="00984937" w:rsidRPr="006E0597">
        <w:rPr>
          <w:rFonts w:ascii="Arial" w:hAnsi="Arial" w:cs="Arial"/>
        </w:rPr>
        <w:t xml:space="preserve"> αντισταθμίστηκε από μια εποχική πτώση στις υπηρεσίες διεθνούς χονδρικής</w:t>
      </w:r>
      <w:r w:rsidR="009E285A" w:rsidRPr="006E0597">
        <w:rPr>
          <w:rFonts w:ascii="Arial" w:hAnsi="Arial" w:cs="Arial"/>
        </w:rPr>
        <w:t xml:space="preserve">. Στην Ρουμανία, </w:t>
      </w:r>
      <w:r w:rsidR="00CA2411" w:rsidRPr="006E0597">
        <w:rPr>
          <w:rFonts w:ascii="Arial" w:hAnsi="Arial" w:cs="Arial"/>
        </w:rPr>
        <w:t xml:space="preserve">μία άκρως ανταγωνιστική αγορά, </w:t>
      </w:r>
      <w:r w:rsidR="009E285A" w:rsidRPr="006E0597">
        <w:rPr>
          <w:rFonts w:ascii="Arial" w:hAnsi="Arial" w:cs="Arial"/>
        </w:rPr>
        <w:t xml:space="preserve">τα έσοδα </w:t>
      </w:r>
      <w:r w:rsidR="008656FA" w:rsidRPr="006E0597">
        <w:rPr>
          <w:rFonts w:ascii="Arial" w:hAnsi="Arial" w:cs="Arial"/>
        </w:rPr>
        <w:t>μειώθηκαν</w:t>
      </w:r>
      <w:r w:rsidR="009E285A" w:rsidRPr="006E0597">
        <w:rPr>
          <w:rFonts w:ascii="Arial" w:hAnsi="Arial" w:cs="Arial"/>
        </w:rPr>
        <w:t xml:space="preserve"> κατά </w:t>
      </w:r>
      <w:r w:rsidR="00664544" w:rsidRPr="006E0597">
        <w:rPr>
          <w:rFonts w:ascii="Arial" w:hAnsi="Arial" w:cs="Arial"/>
        </w:rPr>
        <w:t>17,4</w:t>
      </w:r>
      <w:r w:rsidR="009E285A" w:rsidRPr="006E0597">
        <w:rPr>
          <w:rFonts w:ascii="Arial" w:hAnsi="Arial" w:cs="Arial"/>
        </w:rPr>
        <w:t xml:space="preserve">%, </w:t>
      </w:r>
      <w:r w:rsidR="000D0C7C" w:rsidRPr="006E0597">
        <w:rPr>
          <w:rFonts w:ascii="Arial" w:hAnsi="Arial" w:cs="Arial"/>
        </w:rPr>
        <w:t xml:space="preserve">αντανακλώντας </w:t>
      </w:r>
      <w:r w:rsidR="002D7A17" w:rsidRPr="006E0597">
        <w:rPr>
          <w:rFonts w:ascii="Arial" w:hAnsi="Arial" w:cs="Arial"/>
        </w:rPr>
        <w:t xml:space="preserve">εν μέρει </w:t>
      </w:r>
      <w:r w:rsidR="000D0C7C" w:rsidRPr="006E0597">
        <w:rPr>
          <w:rFonts w:ascii="Arial" w:hAnsi="Arial" w:cs="Arial"/>
        </w:rPr>
        <w:t>την επίδραση από τη μείωση στα τέλη τερματισμού κινητής τηλεφωνίας</w:t>
      </w:r>
      <w:r w:rsidR="001F416F" w:rsidRPr="006E0597">
        <w:rPr>
          <w:rFonts w:ascii="Arial" w:hAnsi="Arial" w:cs="Arial"/>
        </w:rPr>
        <w:t xml:space="preserve"> και έσοδα σχετιζόμενα με ICT στο αντίστοιχο τρίμηνο του 2023.</w:t>
      </w:r>
    </w:p>
    <w:p w14:paraId="43D3F48F" w14:textId="7D2C85B2" w:rsidR="00ED3FB6" w:rsidRPr="006E0597" w:rsidRDefault="009E285A" w:rsidP="006E0597">
      <w:pPr>
        <w:spacing w:before="120" w:line="280" w:lineRule="exact"/>
        <w:jc w:val="both"/>
        <w:rPr>
          <w:rFonts w:ascii="Arial" w:hAnsi="Arial" w:cs="Arial"/>
        </w:rPr>
      </w:pPr>
      <w:r w:rsidRPr="006E0597">
        <w:rPr>
          <w:rFonts w:ascii="Arial" w:hAnsi="Arial" w:cs="Arial"/>
          <w:b/>
          <w:bCs/>
        </w:rPr>
        <w:t>Τα συνολικά λειτουργικά έξοδα του Ομίλου</w:t>
      </w:r>
      <w:r w:rsidRPr="006E0597">
        <w:rPr>
          <w:rFonts w:ascii="Arial" w:hAnsi="Arial" w:cs="Arial"/>
        </w:rPr>
        <w:t>, εξαιρουμένων των αποσβέσεων, των απομειώσεων</w:t>
      </w:r>
      <w:r w:rsidR="004F14DF" w:rsidRPr="006E0597">
        <w:rPr>
          <w:rFonts w:ascii="Arial" w:hAnsi="Arial" w:cs="Arial"/>
        </w:rPr>
        <w:t xml:space="preserve">, </w:t>
      </w:r>
      <w:r w:rsidR="009165B7" w:rsidRPr="006E0597">
        <w:rPr>
          <w:rFonts w:ascii="Arial" w:hAnsi="Arial" w:cs="Arial"/>
        </w:rPr>
        <w:t xml:space="preserve">και των επιβαρύνσεων που σχετίζονται </w:t>
      </w:r>
      <w:r w:rsidRPr="006E0597">
        <w:rPr>
          <w:rFonts w:ascii="Arial" w:hAnsi="Arial" w:cs="Arial"/>
        </w:rPr>
        <w:t>με</w:t>
      </w:r>
      <w:r w:rsidR="004F14DF" w:rsidRPr="006E0597">
        <w:rPr>
          <w:rFonts w:ascii="Arial" w:hAnsi="Arial" w:cs="Arial"/>
        </w:rPr>
        <w:t xml:space="preserve"> Προγράμματα Εθελούσιας Αποχώρησης και</w:t>
      </w:r>
      <w:r w:rsidRPr="006E0597">
        <w:rPr>
          <w:rFonts w:ascii="Arial" w:hAnsi="Arial" w:cs="Arial"/>
        </w:rPr>
        <w:t xml:space="preserve"> κόστη αναδιοργάνωσης</w:t>
      </w:r>
      <w:r w:rsidR="004F14DF" w:rsidRPr="006E0597">
        <w:rPr>
          <w:rFonts w:ascii="Arial" w:hAnsi="Arial" w:cs="Arial"/>
        </w:rPr>
        <w:t xml:space="preserve">, </w:t>
      </w:r>
      <w:r w:rsidR="00364502" w:rsidRPr="006E0597">
        <w:rPr>
          <w:rFonts w:ascii="Arial" w:hAnsi="Arial" w:cs="Arial"/>
        </w:rPr>
        <w:t>μειώθηκαν</w:t>
      </w:r>
      <w:r w:rsidRPr="006E0597">
        <w:rPr>
          <w:rFonts w:ascii="Arial" w:hAnsi="Arial" w:cs="Arial"/>
        </w:rPr>
        <w:t xml:space="preserve"> κατά </w:t>
      </w:r>
      <w:r w:rsidR="00364502" w:rsidRPr="006E0597">
        <w:rPr>
          <w:rFonts w:ascii="Arial" w:hAnsi="Arial" w:cs="Arial"/>
        </w:rPr>
        <w:t>4,3</w:t>
      </w:r>
      <w:r w:rsidRPr="006E0597">
        <w:rPr>
          <w:rFonts w:ascii="Arial" w:hAnsi="Arial" w:cs="Arial"/>
        </w:rPr>
        <w:t xml:space="preserve">% σε σύγκριση με το </w:t>
      </w:r>
      <w:r w:rsidR="00364502" w:rsidRPr="006E0597">
        <w:rPr>
          <w:rFonts w:ascii="Arial" w:hAnsi="Arial" w:cs="Arial"/>
        </w:rPr>
        <w:t>Δ</w:t>
      </w:r>
      <w:r w:rsidRPr="006E0597">
        <w:rPr>
          <w:rFonts w:ascii="Arial" w:hAnsi="Arial" w:cs="Arial"/>
        </w:rPr>
        <w:t>’ τρίμηνο του 202</w:t>
      </w:r>
      <w:r w:rsidR="003F35E4" w:rsidRPr="006E0597">
        <w:rPr>
          <w:rFonts w:ascii="Arial" w:hAnsi="Arial" w:cs="Arial"/>
        </w:rPr>
        <w:t>3</w:t>
      </w:r>
      <w:r w:rsidRPr="006E0597">
        <w:rPr>
          <w:rFonts w:ascii="Arial" w:hAnsi="Arial" w:cs="Arial"/>
        </w:rPr>
        <w:t xml:space="preserve"> και διαμορφώθηκαν σε €</w:t>
      </w:r>
      <w:r w:rsidR="00364502" w:rsidRPr="006E0597">
        <w:rPr>
          <w:rFonts w:ascii="Arial" w:hAnsi="Arial" w:cs="Arial"/>
        </w:rPr>
        <w:t>547,1</w:t>
      </w:r>
      <w:r w:rsidRPr="006E0597">
        <w:rPr>
          <w:rFonts w:ascii="Arial" w:hAnsi="Arial" w:cs="Arial"/>
        </w:rPr>
        <w:t xml:space="preserve"> εκατ., αντανακλώντας </w:t>
      </w:r>
      <w:r w:rsidR="0061497E" w:rsidRPr="006E0597">
        <w:rPr>
          <w:rFonts w:ascii="Arial" w:hAnsi="Arial" w:cs="Arial"/>
        </w:rPr>
        <w:t xml:space="preserve">κυρίως </w:t>
      </w:r>
      <w:r w:rsidR="00E27863" w:rsidRPr="006E0597">
        <w:rPr>
          <w:rFonts w:ascii="Arial" w:hAnsi="Arial" w:cs="Arial"/>
        </w:rPr>
        <w:t>χαμηλότερα</w:t>
      </w:r>
      <w:r w:rsidR="00D062BB" w:rsidRPr="006E0597">
        <w:rPr>
          <w:rFonts w:ascii="Arial" w:hAnsi="Arial" w:cs="Arial"/>
        </w:rPr>
        <w:t xml:space="preserve"> άμεσα κόστη λόγω της </w:t>
      </w:r>
      <w:r w:rsidR="00E27863" w:rsidRPr="006E0597">
        <w:rPr>
          <w:rFonts w:ascii="Arial" w:hAnsi="Arial" w:cs="Arial"/>
        </w:rPr>
        <w:t>μείωσης</w:t>
      </w:r>
      <w:r w:rsidR="00D062BB" w:rsidRPr="006E0597">
        <w:rPr>
          <w:rFonts w:ascii="Arial" w:hAnsi="Arial" w:cs="Arial"/>
        </w:rPr>
        <w:t xml:space="preserve"> των εσόδων</w:t>
      </w:r>
      <w:r w:rsidR="009165B7" w:rsidRPr="006E0597">
        <w:rPr>
          <w:rFonts w:ascii="Arial" w:hAnsi="Arial" w:cs="Arial"/>
        </w:rPr>
        <w:t>,</w:t>
      </w:r>
      <w:r w:rsidR="00D062BB" w:rsidRPr="006E0597">
        <w:rPr>
          <w:rFonts w:ascii="Arial" w:hAnsi="Arial" w:cs="Arial"/>
        </w:rPr>
        <w:t xml:space="preserve"> </w:t>
      </w:r>
      <w:r w:rsidR="00E27863" w:rsidRPr="006E0597">
        <w:rPr>
          <w:rFonts w:ascii="Arial" w:hAnsi="Arial" w:cs="Arial"/>
        </w:rPr>
        <w:t xml:space="preserve">και μέτρα </w:t>
      </w:r>
      <w:r w:rsidR="009165B7" w:rsidRPr="006E0597">
        <w:rPr>
          <w:rFonts w:ascii="Arial" w:hAnsi="Arial" w:cs="Arial"/>
        </w:rPr>
        <w:t xml:space="preserve">περιορισμού </w:t>
      </w:r>
      <w:r w:rsidR="00E27863" w:rsidRPr="006E0597">
        <w:rPr>
          <w:rFonts w:ascii="Arial" w:hAnsi="Arial" w:cs="Arial"/>
        </w:rPr>
        <w:t>του κόστους σε</w:t>
      </w:r>
      <w:r w:rsidR="00D062BB" w:rsidRPr="006E0597">
        <w:rPr>
          <w:rFonts w:ascii="Arial" w:hAnsi="Arial" w:cs="Arial"/>
        </w:rPr>
        <w:t xml:space="preserve"> </w:t>
      </w:r>
      <w:r w:rsidR="009F29AA" w:rsidRPr="006E0597">
        <w:rPr>
          <w:rFonts w:ascii="Arial" w:hAnsi="Arial" w:cs="Arial"/>
        </w:rPr>
        <w:t>ορισμένες</w:t>
      </w:r>
      <w:r w:rsidR="00D062BB" w:rsidRPr="006E0597">
        <w:rPr>
          <w:rFonts w:ascii="Arial" w:hAnsi="Arial" w:cs="Arial"/>
        </w:rPr>
        <w:t xml:space="preserve"> </w:t>
      </w:r>
      <w:r w:rsidR="009165B7" w:rsidRPr="006E0597">
        <w:rPr>
          <w:rFonts w:ascii="Arial" w:hAnsi="Arial" w:cs="Arial"/>
        </w:rPr>
        <w:t xml:space="preserve">περιοχές, </w:t>
      </w:r>
      <w:r w:rsidR="009F29AA" w:rsidRPr="006E0597">
        <w:rPr>
          <w:rFonts w:ascii="Arial" w:hAnsi="Arial" w:cs="Arial"/>
        </w:rPr>
        <w:t>συμπ</w:t>
      </w:r>
      <w:r w:rsidR="006173A7" w:rsidRPr="006E0597">
        <w:rPr>
          <w:rFonts w:ascii="Arial" w:hAnsi="Arial" w:cs="Arial"/>
        </w:rPr>
        <w:t>εριλαμβανομένου</w:t>
      </w:r>
      <w:r w:rsidR="00E27863" w:rsidRPr="006E0597">
        <w:rPr>
          <w:rFonts w:ascii="Arial" w:hAnsi="Arial" w:cs="Arial"/>
        </w:rPr>
        <w:t xml:space="preserve"> το</w:t>
      </w:r>
      <w:r w:rsidR="009F29AA" w:rsidRPr="006E0597">
        <w:rPr>
          <w:rFonts w:ascii="Arial" w:hAnsi="Arial" w:cs="Arial"/>
        </w:rPr>
        <w:t>υ</w:t>
      </w:r>
      <w:r w:rsidR="00E27863" w:rsidRPr="006E0597">
        <w:rPr>
          <w:rFonts w:ascii="Arial" w:hAnsi="Arial" w:cs="Arial"/>
        </w:rPr>
        <w:t xml:space="preserve"> κόστο</w:t>
      </w:r>
      <w:r w:rsidR="009F29AA" w:rsidRPr="006E0597">
        <w:rPr>
          <w:rFonts w:ascii="Arial" w:hAnsi="Arial" w:cs="Arial"/>
        </w:rPr>
        <w:t>υ</w:t>
      </w:r>
      <w:r w:rsidR="00E27863" w:rsidRPr="006E0597">
        <w:rPr>
          <w:rFonts w:ascii="Arial" w:hAnsi="Arial" w:cs="Arial"/>
        </w:rPr>
        <w:t>ς προσωπικού.</w:t>
      </w:r>
    </w:p>
    <w:p w14:paraId="1F858B9A" w14:textId="53B6E3A7" w:rsidR="00ED3FB6" w:rsidRPr="00C7005D" w:rsidRDefault="00A31E8E" w:rsidP="006E0597">
      <w:pPr>
        <w:spacing w:before="120" w:line="280" w:lineRule="exact"/>
        <w:jc w:val="both"/>
        <w:rPr>
          <w:rFonts w:ascii="Arial" w:hAnsi="Arial" w:cs="Arial"/>
          <w:bCs/>
          <w:color w:val="000000" w:themeColor="text1"/>
        </w:rPr>
      </w:pPr>
      <w:r w:rsidRPr="006E0597">
        <w:rPr>
          <w:rFonts w:ascii="Arial" w:hAnsi="Arial" w:cs="Arial"/>
          <w:b/>
          <w:color w:val="000000" w:themeColor="text1"/>
        </w:rPr>
        <w:t>Το</w:t>
      </w:r>
      <w:r w:rsidR="009E285A" w:rsidRPr="006E0597" w:rsidDel="0012664C">
        <w:rPr>
          <w:rFonts w:ascii="Arial" w:hAnsi="Arial" w:cs="Arial"/>
          <w:b/>
          <w:color w:val="000000" w:themeColor="text1"/>
        </w:rPr>
        <w:t xml:space="preserve"> </w:t>
      </w:r>
      <w:r w:rsidR="009E285A" w:rsidRPr="006E0597">
        <w:rPr>
          <w:rFonts w:ascii="Arial" w:hAnsi="Arial" w:cs="Arial"/>
          <w:b/>
          <w:color w:val="000000" w:themeColor="text1"/>
        </w:rPr>
        <w:t>προσαρμοσμέν</w:t>
      </w:r>
      <w:r w:rsidRPr="006E0597">
        <w:rPr>
          <w:rFonts w:ascii="Arial" w:hAnsi="Arial" w:cs="Arial"/>
          <w:b/>
          <w:color w:val="000000" w:themeColor="text1"/>
        </w:rPr>
        <w:t>ο</w:t>
      </w:r>
      <w:r w:rsidR="009E285A" w:rsidRPr="006E0597">
        <w:rPr>
          <w:rFonts w:ascii="Arial" w:hAnsi="Arial" w:cs="Arial"/>
          <w:b/>
          <w:color w:val="000000" w:themeColor="text1"/>
        </w:rPr>
        <w:t xml:space="preserve"> </w:t>
      </w:r>
      <w:r w:rsidR="009E285A" w:rsidRPr="006E0597">
        <w:rPr>
          <w:rFonts w:ascii="Arial" w:hAnsi="Arial" w:cs="Arial"/>
          <w:b/>
          <w:color w:val="000000" w:themeColor="text1"/>
          <w:lang w:val="en-US"/>
        </w:rPr>
        <w:t>EBITDA</w:t>
      </w:r>
      <w:r w:rsidR="009E285A" w:rsidRPr="006E0597" w:rsidDel="00184804">
        <w:rPr>
          <w:rFonts w:ascii="Arial" w:hAnsi="Arial" w:cs="Arial"/>
          <w:b/>
          <w:color w:val="000000" w:themeColor="text1"/>
        </w:rPr>
        <w:t xml:space="preserve"> </w:t>
      </w:r>
      <w:r w:rsidR="009E285A" w:rsidRPr="006E0597">
        <w:rPr>
          <w:rFonts w:ascii="Arial" w:hAnsi="Arial" w:cs="Arial"/>
          <w:b/>
          <w:color w:val="000000" w:themeColor="text1"/>
        </w:rPr>
        <w:t>(</w:t>
      </w:r>
      <w:r w:rsidR="009E285A" w:rsidRPr="006E0597">
        <w:rPr>
          <w:rFonts w:ascii="Arial" w:hAnsi="Arial" w:cs="Arial"/>
          <w:b/>
          <w:color w:val="000000" w:themeColor="text1"/>
          <w:lang w:val="en-US"/>
        </w:rPr>
        <w:t>AL</w:t>
      </w:r>
      <w:r w:rsidR="009E285A" w:rsidRPr="006E0597">
        <w:rPr>
          <w:rFonts w:ascii="Arial" w:hAnsi="Arial" w:cs="Arial"/>
          <w:b/>
          <w:color w:val="000000" w:themeColor="text1"/>
        </w:rPr>
        <w:t>) του Ομίλου</w:t>
      </w:r>
      <w:r w:rsidR="009E285A" w:rsidRPr="006E0597">
        <w:rPr>
          <w:rFonts w:ascii="Arial" w:hAnsi="Arial" w:cs="Arial"/>
          <w:bCs/>
          <w:color w:val="000000" w:themeColor="text1"/>
        </w:rPr>
        <w:t xml:space="preserve"> </w:t>
      </w:r>
      <w:r w:rsidR="00585DE0" w:rsidRPr="006E0597">
        <w:rPr>
          <w:rFonts w:ascii="Arial" w:hAnsi="Arial" w:cs="Arial"/>
          <w:bCs/>
          <w:color w:val="000000" w:themeColor="text1"/>
        </w:rPr>
        <w:t>ανήλθε σ</w:t>
      </w:r>
      <w:r w:rsidR="00727CF6" w:rsidRPr="006E0597">
        <w:rPr>
          <w:rFonts w:ascii="Arial" w:hAnsi="Arial" w:cs="Arial"/>
          <w:bCs/>
          <w:color w:val="000000" w:themeColor="text1"/>
        </w:rPr>
        <w:t>ε</w:t>
      </w:r>
      <w:r w:rsidR="00585DE0" w:rsidRPr="006E0597">
        <w:rPr>
          <w:rFonts w:ascii="Arial" w:hAnsi="Arial" w:cs="Arial"/>
          <w:bCs/>
          <w:color w:val="000000" w:themeColor="text1"/>
        </w:rPr>
        <w:t xml:space="preserve"> €3</w:t>
      </w:r>
      <w:r w:rsidR="007741B0" w:rsidRPr="006E0597">
        <w:rPr>
          <w:rFonts w:ascii="Arial" w:hAnsi="Arial" w:cs="Arial"/>
          <w:bCs/>
          <w:color w:val="000000" w:themeColor="text1"/>
        </w:rPr>
        <w:t>44,5</w:t>
      </w:r>
      <w:r w:rsidR="00585DE0" w:rsidRPr="006E0597">
        <w:rPr>
          <w:rFonts w:ascii="Arial" w:hAnsi="Arial" w:cs="Arial"/>
          <w:bCs/>
          <w:color w:val="000000" w:themeColor="text1"/>
        </w:rPr>
        <w:t xml:space="preserve"> εκατ.</w:t>
      </w:r>
      <w:r w:rsidR="009E285A" w:rsidRPr="006E0597">
        <w:rPr>
          <w:rFonts w:ascii="Arial" w:hAnsi="Arial" w:cs="Arial"/>
          <w:bCs/>
          <w:color w:val="000000" w:themeColor="text1"/>
        </w:rPr>
        <w:t xml:space="preserve">, </w:t>
      </w:r>
      <w:r w:rsidR="00E86C7B" w:rsidRPr="006E0597">
        <w:rPr>
          <w:rFonts w:ascii="Arial" w:hAnsi="Arial" w:cs="Arial"/>
          <w:bCs/>
          <w:color w:val="000000" w:themeColor="text1"/>
        </w:rPr>
        <w:t>αυξημέν</w:t>
      </w:r>
      <w:r w:rsidR="009165B7" w:rsidRPr="006E0597">
        <w:rPr>
          <w:rFonts w:ascii="Arial" w:hAnsi="Arial" w:cs="Arial"/>
          <w:bCs/>
          <w:color w:val="000000" w:themeColor="text1"/>
        </w:rPr>
        <w:t>ο</w:t>
      </w:r>
      <w:r w:rsidR="00E86C7B" w:rsidRPr="006E0597">
        <w:rPr>
          <w:rFonts w:ascii="Arial" w:hAnsi="Arial" w:cs="Arial"/>
          <w:bCs/>
          <w:color w:val="000000" w:themeColor="text1"/>
        </w:rPr>
        <w:t xml:space="preserve"> κατά 1%, υποστηριζόμεν</w:t>
      </w:r>
      <w:r w:rsidR="009165B7" w:rsidRPr="006E0597">
        <w:rPr>
          <w:rFonts w:ascii="Arial" w:hAnsi="Arial" w:cs="Arial"/>
          <w:bCs/>
          <w:color w:val="000000" w:themeColor="text1"/>
        </w:rPr>
        <w:t>ο</w:t>
      </w:r>
      <w:r w:rsidR="00E86C7B" w:rsidRPr="006E0597">
        <w:rPr>
          <w:rFonts w:ascii="Arial" w:hAnsi="Arial" w:cs="Arial"/>
          <w:bCs/>
          <w:color w:val="000000" w:themeColor="text1"/>
        </w:rPr>
        <w:t xml:space="preserve"> κυρίως από </w:t>
      </w:r>
      <w:r w:rsidR="009165B7" w:rsidRPr="006E0597">
        <w:rPr>
          <w:rFonts w:ascii="Arial" w:hAnsi="Arial" w:cs="Arial"/>
          <w:bCs/>
          <w:color w:val="000000" w:themeColor="text1"/>
        </w:rPr>
        <w:t>την</w:t>
      </w:r>
      <w:r w:rsidR="00E86C7B" w:rsidRPr="006E0597">
        <w:rPr>
          <w:rFonts w:ascii="Arial" w:hAnsi="Arial" w:cs="Arial"/>
          <w:bCs/>
          <w:color w:val="000000" w:themeColor="text1"/>
        </w:rPr>
        <w:t xml:space="preserve"> ανάπτυξη</w:t>
      </w:r>
      <w:r w:rsidR="009165B7" w:rsidRPr="006E0597">
        <w:rPr>
          <w:rFonts w:ascii="Arial" w:hAnsi="Arial" w:cs="Arial"/>
          <w:bCs/>
          <w:color w:val="000000" w:themeColor="text1"/>
        </w:rPr>
        <w:t xml:space="preserve"> κατά</w:t>
      </w:r>
      <w:r w:rsidR="00E86C7B" w:rsidRPr="006E0597">
        <w:rPr>
          <w:rFonts w:ascii="Arial" w:hAnsi="Arial" w:cs="Arial"/>
          <w:bCs/>
          <w:color w:val="000000" w:themeColor="text1"/>
        </w:rPr>
        <w:t xml:space="preserve"> 1,8% στην Ελλάδα.</w:t>
      </w:r>
      <w:r w:rsidR="008225DC" w:rsidRPr="006E0597">
        <w:rPr>
          <w:rFonts w:ascii="Arial" w:hAnsi="Arial" w:cs="Arial"/>
          <w:bCs/>
          <w:color w:val="000000" w:themeColor="text1"/>
        </w:rPr>
        <w:t xml:space="preserve"> </w:t>
      </w:r>
      <w:r w:rsidR="009F4149" w:rsidRPr="00C7005D">
        <w:rPr>
          <w:rFonts w:ascii="Arial" w:hAnsi="Arial" w:cs="Arial"/>
          <w:bCs/>
          <w:color w:val="000000" w:themeColor="text1"/>
        </w:rPr>
        <w:t xml:space="preserve">Το περιθώριο προσαρμοσμένου </w:t>
      </w:r>
      <w:r w:rsidR="009F4149" w:rsidRPr="006E0597">
        <w:rPr>
          <w:rFonts w:ascii="Arial" w:hAnsi="Arial" w:cs="Arial"/>
          <w:bCs/>
          <w:color w:val="000000" w:themeColor="text1"/>
          <w:lang w:val="en-US"/>
        </w:rPr>
        <w:t>EBITDA</w:t>
      </w:r>
      <w:r w:rsidR="009F4149" w:rsidRPr="00C7005D">
        <w:rPr>
          <w:rFonts w:ascii="Arial" w:hAnsi="Arial" w:cs="Arial"/>
          <w:bCs/>
          <w:color w:val="000000" w:themeColor="text1"/>
        </w:rPr>
        <w:t xml:space="preserve"> (</w:t>
      </w:r>
      <w:r w:rsidR="009F4149" w:rsidRPr="006E0597">
        <w:rPr>
          <w:rFonts w:ascii="Arial" w:hAnsi="Arial" w:cs="Arial"/>
          <w:bCs/>
          <w:color w:val="000000" w:themeColor="text1"/>
          <w:lang w:val="en-US"/>
        </w:rPr>
        <w:t>AL</w:t>
      </w:r>
      <w:r w:rsidR="009F4149" w:rsidRPr="00C7005D">
        <w:rPr>
          <w:rFonts w:ascii="Arial" w:hAnsi="Arial" w:cs="Arial"/>
          <w:bCs/>
          <w:color w:val="000000" w:themeColor="text1"/>
        </w:rPr>
        <w:t>) του Ομίλου στο τρίμηνο ανήλθε σ</w:t>
      </w:r>
      <w:r w:rsidR="00727CF6" w:rsidRPr="00C7005D">
        <w:rPr>
          <w:rFonts w:ascii="Arial" w:hAnsi="Arial" w:cs="Arial"/>
          <w:bCs/>
          <w:color w:val="000000" w:themeColor="text1"/>
        </w:rPr>
        <w:t>ε</w:t>
      </w:r>
      <w:r w:rsidR="009F4149" w:rsidRPr="00C7005D">
        <w:rPr>
          <w:rFonts w:ascii="Arial" w:hAnsi="Arial" w:cs="Arial"/>
          <w:bCs/>
          <w:color w:val="000000" w:themeColor="text1"/>
        </w:rPr>
        <w:t xml:space="preserve"> 3</w:t>
      </w:r>
      <w:r w:rsidR="008C6149" w:rsidRPr="00C7005D">
        <w:rPr>
          <w:rFonts w:ascii="Arial" w:hAnsi="Arial" w:cs="Arial"/>
          <w:bCs/>
          <w:color w:val="000000" w:themeColor="text1"/>
        </w:rPr>
        <w:t>8</w:t>
      </w:r>
      <w:r w:rsidR="009F4149" w:rsidRPr="00C7005D">
        <w:rPr>
          <w:rFonts w:ascii="Arial" w:hAnsi="Arial" w:cs="Arial"/>
          <w:bCs/>
          <w:color w:val="000000" w:themeColor="text1"/>
        </w:rPr>
        <w:t>,</w:t>
      </w:r>
      <w:r w:rsidR="001F35CF" w:rsidRPr="00C7005D">
        <w:rPr>
          <w:rFonts w:ascii="Arial" w:hAnsi="Arial" w:cs="Arial"/>
          <w:bCs/>
          <w:color w:val="000000" w:themeColor="text1"/>
        </w:rPr>
        <w:t>1</w:t>
      </w:r>
      <w:r w:rsidR="009F4149" w:rsidRPr="00C7005D">
        <w:rPr>
          <w:rFonts w:ascii="Arial" w:hAnsi="Arial" w:cs="Arial"/>
          <w:bCs/>
          <w:color w:val="000000" w:themeColor="text1"/>
        </w:rPr>
        <w:t xml:space="preserve">% </w:t>
      </w:r>
      <w:r w:rsidR="009165B7" w:rsidRPr="00C7005D">
        <w:rPr>
          <w:rFonts w:ascii="Arial" w:hAnsi="Arial" w:cs="Arial"/>
          <w:bCs/>
          <w:color w:val="000000" w:themeColor="text1"/>
        </w:rPr>
        <w:t>από</w:t>
      </w:r>
      <w:r w:rsidR="009F4149" w:rsidRPr="00C7005D">
        <w:rPr>
          <w:rFonts w:ascii="Arial" w:hAnsi="Arial" w:cs="Arial"/>
          <w:bCs/>
          <w:color w:val="000000" w:themeColor="text1"/>
        </w:rPr>
        <w:t xml:space="preserve"> </w:t>
      </w:r>
      <w:r w:rsidR="008C6149" w:rsidRPr="00C7005D">
        <w:rPr>
          <w:rFonts w:ascii="Arial" w:hAnsi="Arial" w:cs="Arial"/>
          <w:bCs/>
          <w:color w:val="000000" w:themeColor="text1"/>
        </w:rPr>
        <w:t>36,7</w:t>
      </w:r>
      <w:r w:rsidR="009F4149" w:rsidRPr="00C7005D">
        <w:rPr>
          <w:rFonts w:ascii="Arial" w:hAnsi="Arial" w:cs="Arial"/>
          <w:bCs/>
          <w:color w:val="000000" w:themeColor="text1"/>
        </w:rPr>
        <w:t xml:space="preserve">% στο </w:t>
      </w:r>
      <w:r w:rsidR="008C6149" w:rsidRPr="00C7005D">
        <w:rPr>
          <w:rFonts w:ascii="Arial" w:hAnsi="Arial" w:cs="Arial"/>
          <w:bCs/>
          <w:color w:val="000000" w:themeColor="text1"/>
        </w:rPr>
        <w:t>Δ</w:t>
      </w:r>
      <w:r w:rsidR="009F4149" w:rsidRPr="00C7005D">
        <w:rPr>
          <w:rFonts w:ascii="Arial" w:hAnsi="Arial" w:cs="Arial"/>
          <w:bCs/>
          <w:color w:val="000000" w:themeColor="text1"/>
        </w:rPr>
        <w:t>’ τρίμηνο 2023</w:t>
      </w:r>
      <w:r w:rsidR="004C0CED" w:rsidRPr="00C7005D">
        <w:rPr>
          <w:rFonts w:ascii="Arial" w:hAnsi="Arial" w:cs="Arial"/>
          <w:bCs/>
          <w:color w:val="000000" w:themeColor="text1"/>
        </w:rPr>
        <w:t>.</w:t>
      </w:r>
    </w:p>
    <w:p w14:paraId="5A1CEEA7" w14:textId="4D1C71D0" w:rsidR="0022695D" w:rsidRPr="00C7005D" w:rsidRDefault="0022695D" w:rsidP="006E0597">
      <w:pPr>
        <w:spacing w:before="120" w:line="280" w:lineRule="exact"/>
        <w:jc w:val="both"/>
        <w:rPr>
          <w:rFonts w:ascii="Arial" w:hAnsi="Arial" w:cs="Arial"/>
        </w:rPr>
      </w:pPr>
      <w:r w:rsidRPr="00C7005D">
        <w:rPr>
          <w:rFonts w:ascii="Arial" w:hAnsi="Arial" w:cs="Arial"/>
          <w:b/>
          <w:bCs/>
        </w:rPr>
        <w:t>Τα λειτουργικά κέρδη προ χρηματοοικονομικών και επενδυτικών δραστηριοτήτων του Ομίλου (</w:t>
      </w:r>
      <w:r w:rsidRPr="006E0597">
        <w:rPr>
          <w:rFonts w:ascii="Arial" w:hAnsi="Arial" w:cs="Arial"/>
          <w:b/>
          <w:bCs/>
          <w:lang w:val="en-US"/>
        </w:rPr>
        <w:t>EBIT</w:t>
      </w:r>
      <w:r w:rsidRPr="00C7005D">
        <w:rPr>
          <w:rFonts w:ascii="Arial" w:hAnsi="Arial" w:cs="Arial"/>
          <w:b/>
          <w:bCs/>
        </w:rPr>
        <w:t>)</w:t>
      </w:r>
      <w:r w:rsidRPr="00C7005D">
        <w:rPr>
          <w:rFonts w:ascii="Arial" w:hAnsi="Arial" w:cs="Arial"/>
        </w:rPr>
        <w:t xml:space="preserve"> ανήλθαν σε €</w:t>
      </w:r>
      <w:r w:rsidR="007F2CA5" w:rsidRPr="00C7005D">
        <w:rPr>
          <w:rFonts w:ascii="Arial" w:hAnsi="Arial" w:cs="Arial"/>
        </w:rPr>
        <w:t>115,3</w:t>
      </w:r>
      <w:r w:rsidRPr="00C7005D">
        <w:rPr>
          <w:rFonts w:ascii="Arial" w:hAnsi="Arial" w:cs="Arial"/>
        </w:rPr>
        <w:t xml:space="preserve"> εκατ. μειωμένα κατά 35,4% σε σύγκριση με €178,5 εκατ. ένα χρόνο πριν, κυρίως λόγω</w:t>
      </w:r>
      <w:r w:rsidR="00555F18" w:rsidRPr="00555F18">
        <w:rPr>
          <w:rFonts w:ascii="Arial" w:hAnsi="Arial" w:cs="Arial"/>
        </w:rPr>
        <w:t xml:space="preserve"> </w:t>
      </w:r>
      <w:r w:rsidR="00555F18">
        <w:rPr>
          <w:rFonts w:ascii="Arial" w:hAnsi="Arial" w:cs="Arial"/>
        </w:rPr>
        <w:t xml:space="preserve">αύξησης κατά 42,7% των αποσβέσεων </w:t>
      </w:r>
      <w:r w:rsidR="001C16BD">
        <w:rPr>
          <w:rFonts w:ascii="Arial" w:hAnsi="Arial" w:cs="Arial"/>
        </w:rPr>
        <w:t>από την</w:t>
      </w:r>
      <w:r w:rsidRPr="00C7005D">
        <w:rPr>
          <w:rFonts w:ascii="Arial" w:hAnsi="Arial" w:cs="Arial"/>
        </w:rPr>
        <w:t xml:space="preserve"> </w:t>
      </w:r>
      <w:r w:rsidR="005702C6" w:rsidRPr="00C7005D">
        <w:rPr>
          <w:rFonts w:ascii="Arial" w:hAnsi="Arial" w:cs="Arial"/>
        </w:rPr>
        <w:t xml:space="preserve">απομείωση της λογιστικής αξίας για την </w:t>
      </w:r>
      <w:r w:rsidR="005702C6" w:rsidRPr="006E0597">
        <w:rPr>
          <w:rFonts w:ascii="Arial" w:hAnsi="Arial" w:cs="Arial"/>
          <w:lang w:val="en-US"/>
        </w:rPr>
        <w:t>TELEKOM</w:t>
      </w:r>
      <w:r w:rsidR="005702C6" w:rsidRPr="00C7005D">
        <w:rPr>
          <w:rFonts w:ascii="Arial" w:hAnsi="Arial" w:cs="Arial"/>
        </w:rPr>
        <w:t xml:space="preserve"> </w:t>
      </w:r>
      <w:r w:rsidR="005702C6" w:rsidRPr="006E0597">
        <w:rPr>
          <w:rFonts w:ascii="Arial" w:hAnsi="Arial" w:cs="Arial"/>
          <w:lang w:val="en-US"/>
        </w:rPr>
        <w:t>ROMANIA</w:t>
      </w:r>
      <w:r w:rsidR="005702C6" w:rsidRPr="00C7005D">
        <w:rPr>
          <w:rFonts w:ascii="Arial" w:hAnsi="Arial" w:cs="Arial"/>
        </w:rPr>
        <w:t xml:space="preserve"> </w:t>
      </w:r>
      <w:r w:rsidR="005702C6" w:rsidRPr="006E0597">
        <w:rPr>
          <w:rFonts w:ascii="Arial" w:hAnsi="Arial" w:cs="Arial"/>
          <w:lang w:val="en-US"/>
        </w:rPr>
        <w:t>MOBILE</w:t>
      </w:r>
      <w:r w:rsidR="005702C6" w:rsidRPr="00C7005D">
        <w:rPr>
          <w:rFonts w:ascii="Arial" w:hAnsi="Arial" w:cs="Arial"/>
        </w:rPr>
        <w:t xml:space="preserve"> κατά €89,8 εκατ. που αναγνωρίστηκε το Δ’ τρίμηνο του 2024, ως αποτέλεσμα του</w:t>
      </w:r>
      <w:r w:rsidR="00B96383" w:rsidRPr="00C7005D">
        <w:rPr>
          <w:rFonts w:ascii="Arial" w:hAnsi="Arial" w:cs="Arial"/>
        </w:rPr>
        <w:t xml:space="preserve"> σχετικού</w:t>
      </w:r>
      <w:r w:rsidR="005702C6" w:rsidRPr="00C7005D">
        <w:rPr>
          <w:rFonts w:ascii="Arial" w:hAnsi="Arial" w:cs="Arial"/>
        </w:rPr>
        <w:t xml:space="preserve"> ελέγχου απομείωσης</w:t>
      </w:r>
      <w:r w:rsidRPr="00C7005D">
        <w:rPr>
          <w:rFonts w:ascii="Arial" w:hAnsi="Arial" w:cs="Arial"/>
        </w:rPr>
        <w:t>.</w:t>
      </w:r>
    </w:p>
    <w:p w14:paraId="6C148FA6" w14:textId="6224B2A1" w:rsidR="009E285A" w:rsidRPr="00C7005D" w:rsidRDefault="009E285A" w:rsidP="00BE0AD5">
      <w:pPr>
        <w:spacing w:before="120" w:line="280" w:lineRule="exact"/>
        <w:jc w:val="both"/>
        <w:rPr>
          <w:rFonts w:ascii="Arial" w:hAnsi="Arial" w:cs="Arial"/>
          <w:color w:val="000000" w:themeColor="text1"/>
        </w:rPr>
      </w:pPr>
      <w:r w:rsidRPr="00C7005D">
        <w:rPr>
          <w:rFonts w:ascii="Arial" w:hAnsi="Arial" w:cs="Arial"/>
          <w:b/>
          <w:bCs/>
          <w:color w:val="000000" w:themeColor="text1"/>
        </w:rPr>
        <w:t>Οι επενδύσεις σε πάγια περιουσιακά στοιχεία</w:t>
      </w:r>
      <w:r w:rsidRPr="00C7005D">
        <w:rPr>
          <w:rFonts w:ascii="Arial" w:hAnsi="Arial" w:cs="Arial"/>
          <w:color w:val="000000" w:themeColor="text1"/>
        </w:rPr>
        <w:t xml:space="preserve"> ανήλθαν σε €</w:t>
      </w:r>
      <w:r w:rsidR="00295D2C" w:rsidRPr="00C7005D">
        <w:rPr>
          <w:rFonts w:ascii="Arial" w:hAnsi="Arial" w:cs="Arial"/>
          <w:color w:val="000000" w:themeColor="text1"/>
        </w:rPr>
        <w:t>166,7</w:t>
      </w:r>
      <w:r w:rsidRPr="00C7005D">
        <w:rPr>
          <w:rFonts w:ascii="Arial" w:hAnsi="Arial" w:cs="Arial"/>
          <w:color w:val="000000" w:themeColor="text1"/>
        </w:rPr>
        <w:t xml:space="preserve"> εκατ., </w:t>
      </w:r>
      <w:r w:rsidR="00DF3DF8" w:rsidRPr="00C7005D">
        <w:rPr>
          <w:rFonts w:ascii="Arial" w:hAnsi="Arial" w:cs="Arial"/>
          <w:color w:val="000000" w:themeColor="text1"/>
        </w:rPr>
        <w:t>μειωμένες</w:t>
      </w:r>
      <w:r w:rsidRPr="00C7005D">
        <w:rPr>
          <w:rFonts w:ascii="Arial" w:hAnsi="Arial" w:cs="Arial"/>
          <w:color w:val="000000" w:themeColor="text1"/>
        </w:rPr>
        <w:t xml:space="preserve"> κατά </w:t>
      </w:r>
      <w:r w:rsidR="00F02045" w:rsidRPr="00C7005D">
        <w:rPr>
          <w:rFonts w:ascii="Arial" w:hAnsi="Arial" w:cs="Arial"/>
          <w:color w:val="000000" w:themeColor="text1"/>
        </w:rPr>
        <w:t>13,0</w:t>
      </w:r>
      <w:r w:rsidRPr="00C7005D">
        <w:rPr>
          <w:rFonts w:ascii="Arial" w:hAnsi="Arial" w:cs="Arial"/>
          <w:color w:val="000000" w:themeColor="text1"/>
        </w:rPr>
        <w:t xml:space="preserve">% από το </w:t>
      </w:r>
      <w:r w:rsidR="00295D2C" w:rsidRPr="00C7005D">
        <w:rPr>
          <w:rFonts w:ascii="Arial" w:hAnsi="Arial" w:cs="Arial"/>
          <w:color w:val="000000" w:themeColor="text1"/>
        </w:rPr>
        <w:t>Δ</w:t>
      </w:r>
      <w:r w:rsidRPr="00C7005D">
        <w:rPr>
          <w:rFonts w:ascii="Arial" w:hAnsi="Arial" w:cs="Arial"/>
          <w:color w:val="000000" w:themeColor="text1"/>
        </w:rPr>
        <w:t>’ τρίμηνο του 202</w:t>
      </w:r>
      <w:r w:rsidR="00320571" w:rsidRPr="00C7005D">
        <w:rPr>
          <w:rFonts w:ascii="Arial" w:hAnsi="Arial" w:cs="Arial"/>
          <w:color w:val="000000" w:themeColor="text1"/>
        </w:rPr>
        <w:t>3</w:t>
      </w:r>
      <w:r w:rsidR="00F02045" w:rsidRPr="00C7005D">
        <w:rPr>
          <w:rFonts w:ascii="Arial" w:hAnsi="Arial" w:cs="Arial"/>
          <w:color w:val="000000" w:themeColor="text1"/>
        </w:rPr>
        <w:t xml:space="preserve">, </w:t>
      </w:r>
      <w:r w:rsidR="00295D2C" w:rsidRPr="00C7005D">
        <w:rPr>
          <w:rFonts w:ascii="Arial" w:hAnsi="Arial" w:cs="Arial"/>
          <w:color w:val="000000" w:themeColor="text1"/>
        </w:rPr>
        <w:t xml:space="preserve">λόγω των </w:t>
      </w:r>
      <w:r w:rsidR="00F02045" w:rsidRPr="00C7005D">
        <w:rPr>
          <w:rFonts w:ascii="Arial" w:hAnsi="Arial" w:cs="Arial"/>
          <w:color w:val="000000" w:themeColor="text1"/>
        </w:rPr>
        <w:t xml:space="preserve">χαμηλότερων </w:t>
      </w:r>
      <w:r w:rsidR="00027C89" w:rsidRPr="00C7005D">
        <w:rPr>
          <w:rFonts w:ascii="Arial" w:hAnsi="Arial" w:cs="Arial"/>
          <w:color w:val="000000" w:themeColor="text1"/>
        </w:rPr>
        <w:t>επενδύσεων</w:t>
      </w:r>
      <w:r w:rsidR="00F02045" w:rsidRPr="00C7005D">
        <w:rPr>
          <w:rFonts w:ascii="Arial" w:hAnsi="Arial" w:cs="Arial"/>
          <w:color w:val="000000" w:themeColor="text1"/>
        </w:rPr>
        <w:t xml:space="preserve"> σε τηλεοπτικό περιεχόμενο, σε σύγκριση με την ίδια περίοδο ένα χρόνο πριν, μετά τη δημοπρασία για τα τηλεοπτικά δικαιώματα μετάδοσης της </w:t>
      </w:r>
      <w:r w:rsidR="00F02045" w:rsidRPr="00BE0AD5">
        <w:rPr>
          <w:rFonts w:ascii="Arial" w:hAnsi="Arial" w:cs="Arial"/>
          <w:color w:val="000000" w:themeColor="text1"/>
          <w:lang w:val="en-US"/>
        </w:rPr>
        <w:t>UEFA</w:t>
      </w:r>
      <w:r w:rsidR="00B93E79" w:rsidRPr="00C7005D">
        <w:rPr>
          <w:rFonts w:ascii="Arial" w:hAnsi="Arial" w:cs="Arial"/>
          <w:color w:val="000000" w:themeColor="text1"/>
        </w:rPr>
        <w:t xml:space="preserve">. </w:t>
      </w:r>
      <w:r w:rsidRPr="00C7005D">
        <w:rPr>
          <w:rFonts w:ascii="Arial" w:hAnsi="Arial" w:cs="Arial"/>
          <w:color w:val="000000" w:themeColor="text1"/>
        </w:rPr>
        <w:t>Οι επενδύσεις στην Ελλάδα και στην κινητή Ρουμανίας διαμορφώθηκαν σε €</w:t>
      </w:r>
      <w:r w:rsidR="00E46A66" w:rsidRPr="00C7005D">
        <w:rPr>
          <w:rFonts w:ascii="Arial" w:hAnsi="Arial" w:cs="Arial"/>
          <w:color w:val="000000" w:themeColor="text1"/>
        </w:rPr>
        <w:t>1</w:t>
      </w:r>
      <w:r w:rsidR="00295D2C" w:rsidRPr="00C7005D">
        <w:rPr>
          <w:rFonts w:ascii="Arial" w:hAnsi="Arial" w:cs="Arial"/>
          <w:color w:val="000000" w:themeColor="text1"/>
        </w:rPr>
        <w:t>58,4</w:t>
      </w:r>
      <w:r w:rsidRPr="00C7005D">
        <w:rPr>
          <w:rFonts w:ascii="Arial" w:hAnsi="Arial" w:cs="Arial"/>
          <w:color w:val="000000" w:themeColor="text1"/>
        </w:rPr>
        <w:t xml:space="preserve"> εκατ. και €</w:t>
      </w:r>
      <w:r w:rsidR="002067E7" w:rsidRPr="00C7005D">
        <w:rPr>
          <w:rFonts w:ascii="Arial" w:hAnsi="Arial" w:cs="Arial"/>
          <w:color w:val="000000" w:themeColor="text1"/>
        </w:rPr>
        <w:t>8,3</w:t>
      </w:r>
      <w:r w:rsidRPr="00C7005D">
        <w:rPr>
          <w:rFonts w:ascii="Arial" w:hAnsi="Arial" w:cs="Arial"/>
          <w:color w:val="000000" w:themeColor="text1"/>
        </w:rPr>
        <w:t xml:space="preserve"> εκατ.</w:t>
      </w:r>
      <w:r w:rsidR="00F20D43" w:rsidRPr="00C7005D">
        <w:rPr>
          <w:rFonts w:ascii="Arial" w:hAnsi="Arial" w:cs="Arial"/>
          <w:color w:val="000000" w:themeColor="text1"/>
        </w:rPr>
        <w:t>,</w:t>
      </w:r>
      <w:r w:rsidRPr="00C7005D">
        <w:rPr>
          <w:rFonts w:ascii="Arial" w:hAnsi="Arial" w:cs="Arial"/>
          <w:color w:val="000000" w:themeColor="text1"/>
        </w:rPr>
        <w:t xml:space="preserve"> αντίστοιχα. </w:t>
      </w:r>
    </w:p>
    <w:p w14:paraId="4B9D8B1E" w14:textId="1B96883C" w:rsidR="00ED3FB6" w:rsidRPr="00C7005D" w:rsidRDefault="009E285A" w:rsidP="00BE0AD5">
      <w:pPr>
        <w:spacing w:before="120" w:line="280" w:lineRule="exact"/>
        <w:jc w:val="both"/>
        <w:rPr>
          <w:rFonts w:ascii="Arial" w:hAnsi="Arial" w:cs="Arial"/>
          <w:color w:val="000000" w:themeColor="text1"/>
        </w:rPr>
      </w:pPr>
      <w:r w:rsidRPr="00C7005D">
        <w:rPr>
          <w:rFonts w:ascii="Arial" w:hAnsi="Arial" w:cs="Arial"/>
          <w:b/>
          <w:bCs/>
          <w:color w:val="000000" w:themeColor="text1"/>
        </w:rPr>
        <w:t xml:space="preserve">Οι </w:t>
      </w:r>
      <w:r w:rsidR="00224417" w:rsidRPr="00C7005D">
        <w:rPr>
          <w:rFonts w:ascii="Arial" w:hAnsi="Arial" w:cs="Arial"/>
          <w:b/>
          <w:bCs/>
          <w:color w:val="000000" w:themeColor="text1"/>
        </w:rPr>
        <w:t xml:space="preserve">προσαρμοσμένες </w:t>
      </w:r>
      <w:r w:rsidRPr="00C7005D">
        <w:rPr>
          <w:rFonts w:ascii="Arial" w:hAnsi="Arial" w:cs="Arial"/>
          <w:b/>
          <w:bCs/>
          <w:color w:val="000000" w:themeColor="text1"/>
        </w:rPr>
        <w:t>ελεύθερες ταμειακές ροές μετά από μισθώσεις</w:t>
      </w:r>
      <w:r w:rsidRPr="00C7005D">
        <w:rPr>
          <w:rFonts w:ascii="Arial" w:hAnsi="Arial" w:cs="Arial"/>
          <w:color w:val="000000" w:themeColor="text1"/>
        </w:rPr>
        <w:t xml:space="preserve"> διαμορφώθηκαν σε €</w:t>
      </w:r>
      <w:r w:rsidR="00F20096" w:rsidRPr="00C7005D">
        <w:rPr>
          <w:rFonts w:ascii="Arial" w:hAnsi="Arial" w:cs="Arial"/>
          <w:color w:val="000000" w:themeColor="text1"/>
        </w:rPr>
        <w:t>141,6</w:t>
      </w:r>
      <w:r w:rsidRPr="00C7005D">
        <w:rPr>
          <w:rFonts w:ascii="Arial" w:hAnsi="Arial" w:cs="Arial"/>
          <w:color w:val="000000" w:themeColor="text1"/>
        </w:rPr>
        <w:t xml:space="preserve"> εκατ. το </w:t>
      </w:r>
      <w:r w:rsidR="00F20096" w:rsidRPr="00C7005D">
        <w:rPr>
          <w:rFonts w:ascii="Arial" w:hAnsi="Arial" w:cs="Arial"/>
          <w:color w:val="000000" w:themeColor="text1"/>
        </w:rPr>
        <w:t>Δ</w:t>
      </w:r>
      <w:r w:rsidRPr="00C7005D">
        <w:rPr>
          <w:rFonts w:ascii="Arial" w:hAnsi="Arial" w:cs="Arial"/>
          <w:color w:val="000000" w:themeColor="text1"/>
        </w:rPr>
        <w:t>’ τρίμηνο του 202</w:t>
      </w:r>
      <w:r w:rsidR="002874E0" w:rsidRPr="00C7005D">
        <w:rPr>
          <w:rFonts w:ascii="Arial" w:hAnsi="Arial" w:cs="Arial"/>
          <w:color w:val="000000" w:themeColor="text1"/>
        </w:rPr>
        <w:t>4</w:t>
      </w:r>
      <w:r w:rsidRPr="00C7005D">
        <w:rPr>
          <w:rFonts w:ascii="Arial" w:hAnsi="Arial" w:cs="Arial"/>
          <w:color w:val="000000" w:themeColor="text1"/>
        </w:rPr>
        <w:t>,</w:t>
      </w:r>
      <w:r w:rsidR="00146585" w:rsidRPr="00C7005D">
        <w:rPr>
          <w:rFonts w:ascii="Arial" w:hAnsi="Arial" w:cs="Arial"/>
          <w:color w:val="000000" w:themeColor="text1"/>
        </w:rPr>
        <w:t xml:space="preserve"> </w:t>
      </w:r>
      <w:r w:rsidR="00F20096" w:rsidRPr="00C7005D">
        <w:rPr>
          <w:rFonts w:ascii="Arial" w:hAnsi="Arial" w:cs="Arial"/>
          <w:color w:val="000000" w:themeColor="text1"/>
        </w:rPr>
        <w:t>αυξημέν</w:t>
      </w:r>
      <w:r w:rsidR="00C85D60" w:rsidRPr="00C7005D">
        <w:rPr>
          <w:rFonts w:ascii="Arial" w:hAnsi="Arial" w:cs="Arial"/>
          <w:color w:val="000000" w:themeColor="text1"/>
        </w:rPr>
        <w:t>ες</w:t>
      </w:r>
      <w:r w:rsidR="00F20096" w:rsidRPr="00C7005D">
        <w:rPr>
          <w:rFonts w:ascii="Arial" w:hAnsi="Arial" w:cs="Arial"/>
          <w:color w:val="000000" w:themeColor="text1"/>
        </w:rPr>
        <w:t xml:space="preserve"> κατά 22%</w:t>
      </w:r>
      <w:r w:rsidR="009165B7" w:rsidRPr="00C7005D">
        <w:rPr>
          <w:rFonts w:ascii="Arial" w:hAnsi="Arial" w:cs="Arial"/>
          <w:color w:val="000000" w:themeColor="text1"/>
        </w:rPr>
        <w:t>,</w:t>
      </w:r>
      <w:r w:rsidR="00F20096" w:rsidRPr="00C7005D">
        <w:rPr>
          <w:rFonts w:ascii="Arial" w:hAnsi="Arial" w:cs="Arial"/>
          <w:color w:val="000000" w:themeColor="text1"/>
        </w:rPr>
        <w:t xml:space="preserve"> </w:t>
      </w:r>
      <w:r w:rsidR="00E04657" w:rsidRPr="00C7005D">
        <w:rPr>
          <w:rFonts w:ascii="Arial" w:hAnsi="Arial" w:cs="Arial"/>
          <w:color w:val="000000" w:themeColor="text1"/>
        </w:rPr>
        <w:t xml:space="preserve">αντανακλώντας </w:t>
      </w:r>
      <w:r w:rsidR="00F20096" w:rsidRPr="00C7005D">
        <w:rPr>
          <w:rFonts w:ascii="Arial" w:hAnsi="Arial" w:cs="Arial"/>
          <w:color w:val="000000" w:themeColor="text1"/>
        </w:rPr>
        <w:t>χαμηλότερ</w:t>
      </w:r>
      <w:r w:rsidR="0040178B" w:rsidRPr="00C7005D">
        <w:rPr>
          <w:rFonts w:ascii="Arial" w:hAnsi="Arial" w:cs="Arial"/>
          <w:color w:val="000000" w:themeColor="text1"/>
        </w:rPr>
        <w:t>ες</w:t>
      </w:r>
      <w:r w:rsidR="00F20096" w:rsidRPr="00C7005D">
        <w:rPr>
          <w:rFonts w:ascii="Arial" w:hAnsi="Arial" w:cs="Arial"/>
          <w:color w:val="000000" w:themeColor="text1"/>
        </w:rPr>
        <w:t xml:space="preserve"> επενδύσε</w:t>
      </w:r>
      <w:r w:rsidR="0040178B" w:rsidRPr="00C7005D">
        <w:rPr>
          <w:rFonts w:ascii="Arial" w:hAnsi="Arial" w:cs="Arial"/>
          <w:color w:val="000000" w:themeColor="text1"/>
        </w:rPr>
        <w:t>ις</w:t>
      </w:r>
      <w:r w:rsidR="00F20096" w:rsidRPr="00C7005D">
        <w:rPr>
          <w:rFonts w:ascii="Arial" w:hAnsi="Arial" w:cs="Arial"/>
          <w:color w:val="000000" w:themeColor="text1"/>
        </w:rPr>
        <w:t xml:space="preserve"> και υψηλότερη κερδοφορία</w:t>
      </w:r>
      <w:r w:rsidR="00224417" w:rsidRPr="00C7005D">
        <w:rPr>
          <w:rFonts w:ascii="Arial" w:hAnsi="Arial" w:cs="Arial"/>
          <w:color w:val="000000" w:themeColor="text1"/>
        </w:rPr>
        <w:t xml:space="preserve">, ενώ οι </w:t>
      </w:r>
      <w:r w:rsidR="00224417" w:rsidRPr="00C7005D">
        <w:rPr>
          <w:rFonts w:ascii="Arial" w:hAnsi="Arial" w:cs="Arial"/>
          <w:b/>
          <w:bCs/>
          <w:color w:val="000000" w:themeColor="text1"/>
        </w:rPr>
        <w:t>ελεύθερες ταμειακές ροές μετά από μισθώσεις</w:t>
      </w:r>
      <w:r w:rsidR="00C85D60" w:rsidRPr="00C7005D">
        <w:rPr>
          <w:rFonts w:ascii="Arial" w:hAnsi="Arial" w:cs="Arial"/>
          <w:color w:val="000000" w:themeColor="text1"/>
        </w:rPr>
        <w:t xml:space="preserve"> διαμορφώθηκαν</w:t>
      </w:r>
      <w:r w:rsidR="00F20096" w:rsidRPr="00C7005D">
        <w:rPr>
          <w:rFonts w:ascii="Arial" w:hAnsi="Arial" w:cs="Arial"/>
          <w:color w:val="000000" w:themeColor="text1"/>
        </w:rPr>
        <w:t xml:space="preserve"> </w:t>
      </w:r>
      <w:r w:rsidR="00146585" w:rsidRPr="00C7005D">
        <w:rPr>
          <w:rFonts w:ascii="Arial" w:hAnsi="Arial" w:cs="Arial"/>
          <w:color w:val="000000" w:themeColor="text1"/>
        </w:rPr>
        <w:t xml:space="preserve">σε </w:t>
      </w:r>
      <w:r w:rsidR="00C85D60" w:rsidRPr="00C7005D">
        <w:rPr>
          <w:rFonts w:ascii="Arial" w:hAnsi="Arial" w:cs="Arial"/>
          <w:color w:val="000000" w:themeColor="text1"/>
        </w:rPr>
        <w:t>€100,7</w:t>
      </w:r>
      <w:r w:rsidR="00146585" w:rsidRPr="00C7005D">
        <w:rPr>
          <w:rFonts w:ascii="Arial" w:hAnsi="Arial" w:cs="Arial"/>
          <w:color w:val="000000" w:themeColor="text1"/>
        </w:rPr>
        <w:t xml:space="preserve"> εκατ.</w:t>
      </w:r>
      <w:r w:rsidRPr="00C7005D">
        <w:rPr>
          <w:rFonts w:ascii="Arial" w:hAnsi="Arial" w:cs="Arial"/>
          <w:color w:val="000000" w:themeColor="text1"/>
        </w:rPr>
        <w:t xml:space="preserve"> </w:t>
      </w:r>
      <w:r w:rsidR="00C85D60" w:rsidRPr="00C7005D">
        <w:rPr>
          <w:rFonts w:ascii="Arial" w:hAnsi="Arial" w:cs="Arial"/>
          <w:color w:val="000000" w:themeColor="text1"/>
        </w:rPr>
        <w:t>αντικατοπτρίζοντας κυρίως</w:t>
      </w:r>
      <w:r w:rsidR="00425A39" w:rsidRPr="00C7005D">
        <w:rPr>
          <w:rFonts w:ascii="Arial" w:hAnsi="Arial" w:cs="Arial"/>
          <w:color w:val="000000" w:themeColor="text1"/>
        </w:rPr>
        <w:t xml:space="preserve"> </w:t>
      </w:r>
      <w:r w:rsidR="009165B7" w:rsidRPr="00C7005D">
        <w:rPr>
          <w:rFonts w:ascii="Arial" w:hAnsi="Arial" w:cs="Arial"/>
          <w:color w:val="000000" w:themeColor="text1"/>
        </w:rPr>
        <w:t xml:space="preserve">τις </w:t>
      </w:r>
      <w:r w:rsidR="00425A39" w:rsidRPr="00C7005D">
        <w:rPr>
          <w:rFonts w:ascii="Arial" w:hAnsi="Arial" w:cs="Arial"/>
          <w:color w:val="000000" w:themeColor="text1"/>
        </w:rPr>
        <w:t>πρόσθετες φορολογικές επιβαρύνσεις</w:t>
      </w:r>
      <w:r w:rsidR="009165B7" w:rsidRPr="00C7005D">
        <w:rPr>
          <w:rFonts w:ascii="Arial" w:hAnsi="Arial" w:cs="Arial"/>
          <w:color w:val="000000" w:themeColor="text1"/>
        </w:rPr>
        <w:t xml:space="preserve"> ύψους</w:t>
      </w:r>
      <w:r w:rsidR="00425A39" w:rsidRPr="00C7005D">
        <w:rPr>
          <w:rFonts w:ascii="Arial" w:hAnsi="Arial" w:cs="Arial"/>
          <w:color w:val="000000" w:themeColor="text1"/>
        </w:rPr>
        <w:t xml:space="preserve"> </w:t>
      </w:r>
      <w:r w:rsidR="009165B7" w:rsidRPr="00C7005D">
        <w:rPr>
          <w:rFonts w:ascii="Arial" w:hAnsi="Arial" w:cs="Arial"/>
          <w:color w:val="000000" w:themeColor="text1"/>
        </w:rPr>
        <w:t xml:space="preserve">€33,5 εκατ. </w:t>
      </w:r>
      <w:r w:rsidR="00425A39" w:rsidRPr="00C7005D">
        <w:rPr>
          <w:rFonts w:ascii="Arial" w:hAnsi="Arial" w:cs="Arial"/>
          <w:color w:val="000000" w:themeColor="text1"/>
        </w:rPr>
        <w:t xml:space="preserve">που επιβλήθηκαν στην </w:t>
      </w:r>
      <w:r w:rsidR="00425A39" w:rsidRPr="00BE0AD5">
        <w:rPr>
          <w:rFonts w:ascii="Arial" w:hAnsi="Arial" w:cs="Arial"/>
          <w:color w:val="000000" w:themeColor="text1"/>
          <w:lang w:val="en-US"/>
        </w:rPr>
        <w:t>TELEKOM</w:t>
      </w:r>
      <w:r w:rsidR="00425A39" w:rsidRPr="00C7005D">
        <w:rPr>
          <w:rFonts w:ascii="Arial" w:hAnsi="Arial" w:cs="Arial"/>
          <w:color w:val="000000" w:themeColor="text1"/>
        </w:rPr>
        <w:t xml:space="preserve"> </w:t>
      </w:r>
      <w:r w:rsidR="00425A39" w:rsidRPr="00BE0AD5">
        <w:rPr>
          <w:rFonts w:ascii="Arial" w:hAnsi="Arial" w:cs="Arial"/>
          <w:color w:val="000000" w:themeColor="text1"/>
          <w:lang w:val="en-US"/>
        </w:rPr>
        <w:t>ROMANIA</w:t>
      </w:r>
      <w:r w:rsidR="00425A39" w:rsidRPr="00C7005D">
        <w:rPr>
          <w:rFonts w:ascii="Arial" w:hAnsi="Arial" w:cs="Arial"/>
          <w:color w:val="000000" w:themeColor="text1"/>
        </w:rPr>
        <w:t xml:space="preserve"> </w:t>
      </w:r>
      <w:r w:rsidR="00425A39" w:rsidRPr="00BE0AD5">
        <w:rPr>
          <w:rFonts w:ascii="Arial" w:hAnsi="Arial" w:cs="Arial"/>
          <w:color w:val="000000" w:themeColor="text1"/>
          <w:lang w:val="en-US"/>
        </w:rPr>
        <w:t>MOBILE</w:t>
      </w:r>
      <w:r w:rsidR="00425A39" w:rsidRPr="00C7005D">
        <w:rPr>
          <w:rFonts w:ascii="Arial" w:hAnsi="Arial" w:cs="Arial"/>
          <w:color w:val="000000" w:themeColor="text1"/>
        </w:rPr>
        <w:t xml:space="preserve"> στο πλαίσιο ελέγχου των οικονομικών χρήσεων 2017-2021.</w:t>
      </w:r>
      <w:r w:rsidR="00C85D60" w:rsidRPr="00C7005D">
        <w:rPr>
          <w:rFonts w:ascii="Arial" w:hAnsi="Arial" w:cs="Arial"/>
          <w:color w:val="000000" w:themeColor="text1"/>
        </w:rPr>
        <w:t xml:space="preserve"> </w:t>
      </w:r>
    </w:p>
    <w:p w14:paraId="6E69677D" w14:textId="07C33AE7" w:rsidR="009E285A" w:rsidRPr="00C7005D" w:rsidRDefault="008925AD" w:rsidP="003C3B23">
      <w:pPr>
        <w:spacing w:before="120" w:line="280" w:lineRule="exact"/>
        <w:jc w:val="both"/>
        <w:rPr>
          <w:rFonts w:ascii="Arial" w:hAnsi="Arial" w:cs="Arial"/>
          <w:color w:val="000000" w:themeColor="text1"/>
        </w:rPr>
      </w:pPr>
      <w:r w:rsidRPr="006E0597">
        <w:rPr>
          <w:rFonts w:ascii="Arial" w:hAnsi="Arial" w:cs="Arial"/>
          <w:b/>
          <w:bCs/>
          <w:noProof/>
        </w:rPr>
        <mc:AlternateContent>
          <mc:Choice Requires="wps">
            <w:drawing>
              <wp:anchor distT="0" distB="0" distL="114300" distR="114300" simplePos="0" relativeHeight="251662349" behindDoc="0" locked="0" layoutInCell="1" allowOverlap="1" wp14:anchorId="41FD9808" wp14:editId="7FF73C2C">
                <wp:simplePos x="0" y="0"/>
                <wp:positionH relativeFrom="column">
                  <wp:posOffset>63500</wp:posOffset>
                </wp:positionH>
                <wp:positionV relativeFrom="paragraph">
                  <wp:posOffset>3810</wp:posOffset>
                </wp:positionV>
                <wp:extent cx="664083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E2949" id="Straight Connector 4" o:spid="_x0000_s1026" style="position:absolute;flip:y;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pt" to="52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" strokecolor="#00b0f0" strokeweight=".6pt">
                <v:stroke joinstyle="miter"/>
              </v:line>
            </w:pict>
          </mc:Fallback>
        </mc:AlternateContent>
      </w:r>
      <w:r w:rsidR="009E285A" w:rsidRPr="00C7005D">
        <w:rPr>
          <w:rFonts w:ascii="Arial" w:hAnsi="Arial" w:cs="Arial"/>
          <w:b/>
          <w:bCs/>
          <w:color w:val="000000" w:themeColor="text1"/>
        </w:rPr>
        <w:t>Ο καθαρός δανεισμός του Ομίλου</w:t>
      </w:r>
      <w:r w:rsidR="009E285A" w:rsidRPr="00C7005D">
        <w:rPr>
          <w:rFonts w:ascii="Arial" w:hAnsi="Arial" w:cs="Arial"/>
          <w:color w:val="000000" w:themeColor="text1"/>
        </w:rPr>
        <w:t xml:space="preserve"> στις 3</w:t>
      </w:r>
      <w:r w:rsidR="00997919" w:rsidRPr="00C7005D">
        <w:rPr>
          <w:rFonts w:ascii="Arial" w:hAnsi="Arial" w:cs="Arial"/>
          <w:color w:val="000000" w:themeColor="text1"/>
        </w:rPr>
        <w:t>1</w:t>
      </w:r>
      <w:r w:rsidR="009E285A" w:rsidRPr="00C7005D">
        <w:rPr>
          <w:rFonts w:ascii="Arial" w:hAnsi="Arial" w:cs="Arial"/>
          <w:color w:val="000000" w:themeColor="text1"/>
        </w:rPr>
        <w:t xml:space="preserve"> </w:t>
      </w:r>
      <w:r w:rsidR="00997919" w:rsidRPr="00C7005D">
        <w:rPr>
          <w:rFonts w:ascii="Arial" w:hAnsi="Arial" w:cs="Arial"/>
          <w:color w:val="000000" w:themeColor="text1"/>
        </w:rPr>
        <w:t>Δεκεμβρίου</w:t>
      </w:r>
      <w:r w:rsidR="009E285A" w:rsidRPr="00C7005D">
        <w:rPr>
          <w:rFonts w:ascii="Arial" w:hAnsi="Arial" w:cs="Arial"/>
          <w:color w:val="000000" w:themeColor="text1"/>
        </w:rPr>
        <w:t xml:space="preserve"> 202</w:t>
      </w:r>
      <w:r w:rsidR="00B47729" w:rsidRPr="00C7005D">
        <w:rPr>
          <w:rFonts w:ascii="Arial" w:hAnsi="Arial" w:cs="Arial"/>
          <w:color w:val="000000" w:themeColor="text1"/>
        </w:rPr>
        <w:t>4</w:t>
      </w:r>
      <w:r w:rsidR="009E285A" w:rsidRPr="00C7005D">
        <w:rPr>
          <w:rFonts w:ascii="Arial" w:hAnsi="Arial" w:cs="Arial"/>
          <w:color w:val="000000" w:themeColor="text1"/>
        </w:rPr>
        <w:t xml:space="preserve"> διαμορφώθηκε σε €</w:t>
      </w:r>
      <w:r w:rsidR="003A5FAD" w:rsidRPr="00C7005D">
        <w:rPr>
          <w:rFonts w:ascii="Arial" w:hAnsi="Arial" w:cs="Arial"/>
          <w:color w:val="000000" w:themeColor="text1"/>
        </w:rPr>
        <w:t>6</w:t>
      </w:r>
      <w:r w:rsidR="00451616" w:rsidRPr="00C7005D">
        <w:rPr>
          <w:rFonts w:ascii="Arial" w:hAnsi="Arial" w:cs="Arial"/>
          <w:color w:val="000000" w:themeColor="text1"/>
        </w:rPr>
        <w:t>43,4</w:t>
      </w:r>
      <w:r w:rsidR="009E285A" w:rsidRPr="00C7005D">
        <w:rPr>
          <w:rFonts w:ascii="Arial" w:hAnsi="Arial" w:cs="Arial"/>
          <w:color w:val="000000" w:themeColor="text1"/>
        </w:rPr>
        <w:t xml:space="preserve"> εκατ. </w:t>
      </w:r>
      <w:r w:rsidR="001B4D66" w:rsidRPr="00C7005D">
        <w:rPr>
          <w:rFonts w:ascii="Arial" w:hAnsi="Arial" w:cs="Arial"/>
          <w:color w:val="000000" w:themeColor="text1"/>
        </w:rPr>
        <w:t>και</w:t>
      </w:r>
      <w:r w:rsidR="009E285A" w:rsidRPr="00C7005D">
        <w:rPr>
          <w:rFonts w:ascii="Arial" w:hAnsi="Arial" w:cs="Arial"/>
          <w:color w:val="000000" w:themeColor="text1"/>
        </w:rPr>
        <w:t xml:space="preserve"> αντιστοιχεί σε 0,</w:t>
      </w:r>
      <w:r w:rsidR="003A5FAD" w:rsidRPr="00C7005D">
        <w:rPr>
          <w:rFonts w:ascii="Arial" w:hAnsi="Arial" w:cs="Arial"/>
          <w:color w:val="000000" w:themeColor="text1"/>
        </w:rPr>
        <w:t>5</w:t>
      </w:r>
      <w:r w:rsidR="009E285A" w:rsidRPr="00C7005D">
        <w:rPr>
          <w:rFonts w:ascii="Arial" w:hAnsi="Arial" w:cs="Arial"/>
          <w:color w:val="000000" w:themeColor="text1"/>
        </w:rPr>
        <w:t xml:space="preserve"> φορές</w:t>
      </w:r>
      <w:r w:rsidR="00D0498F" w:rsidRPr="00C7005D">
        <w:rPr>
          <w:rFonts w:ascii="Arial" w:hAnsi="Arial" w:cs="Arial"/>
          <w:color w:val="000000" w:themeColor="text1"/>
        </w:rPr>
        <w:t xml:space="preserve"> το</w:t>
      </w:r>
      <w:r w:rsidR="009E285A" w:rsidRPr="00C7005D">
        <w:rPr>
          <w:rFonts w:ascii="Arial" w:hAnsi="Arial" w:cs="Arial"/>
          <w:color w:val="000000" w:themeColor="text1"/>
        </w:rPr>
        <w:t xml:space="preserve"> προσαρμοσμένο ΕΒΙ</w:t>
      </w:r>
      <w:r w:rsidR="009E285A" w:rsidRPr="003C3B23">
        <w:rPr>
          <w:rFonts w:ascii="Arial" w:hAnsi="Arial" w:cs="Arial"/>
          <w:color w:val="000000" w:themeColor="text1"/>
          <w:lang w:val="en-US"/>
        </w:rPr>
        <w:t>TDA</w:t>
      </w:r>
      <w:r w:rsidR="009E285A" w:rsidRPr="00C7005D">
        <w:rPr>
          <w:rFonts w:ascii="Arial" w:hAnsi="Arial" w:cs="Arial"/>
          <w:color w:val="000000" w:themeColor="text1"/>
        </w:rPr>
        <w:t xml:space="preserve"> (</w:t>
      </w:r>
      <w:r w:rsidR="009E285A" w:rsidRPr="003C3B23">
        <w:rPr>
          <w:rFonts w:ascii="Arial" w:hAnsi="Arial" w:cs="Arial"/>
          <w:color w:val="000000" w:themeColor="text1"/>
          <w:lang w:val="en-US"/>
        </w:rPr>
        <w:t>AL</w:t>
      </w:r>
      <w:r w:rsidR="009E285A" w:rsidRPr="00C7005D">
        <w:rPr>
          <w:rFonts w:ascii="Arial" w:hAnsi="Arial" w:cs="Arial"/>
          <w:color w:val="000000" w:themeColor="text1"/>
        </w:rPr>
        <w:t>)</w:t>
      </w:r>
      <w:r w:rsidR="004B082A" w:rsidRPr="00C7005D">
        <w:rPr>
          <w:rFonts w:ascii="Arial" w:hAnsi="Arial" w:cs="Arial"/>
          <w:color w:val="000000" w:themeColor="text1"/>
        </w:rPr>
        <w:t xml:space="preserve"> σε δωδεκάμηνη βάση</w:t>
      </w:r>
      <w:r w:rsidR="009E285A" w:rsidRPr="00C7005D">
        <w:rPr>
          <w:rFonts w:ascii="Arial" w:hAnsi="Arial" w:cs="Arial"/>
          <w:color w:val="000000" w:themeColor="text1"/>
        </w:rPr>
        <w:t>.</w:t>
      </w:r>
      <w:r w:rsidR="00B90F14" w:rsidRPr="00C7005D">
        <w:rPr>
          <w:rFonts w:ascii="Arial" w:hAnsi="Arial" w:cs="Arial"/>
          <w:color w:val="000000" w:themeColor="text1"/>
        </w:rPr>
        <w:t xml:space="preserve"> </w:t>
      </w:r>
      <w:r w:rsidR="00F52E8A" w:rsidRPr="00C7005D">
        <w:rPr>
          <w:rFonts w:ascii="Arial" w:hAnsi="Arial" w:cs="Arial"/>
          <w:color w:val="000000" w:themeColor="text1"/>
        </w:rPr>
        <w:t>Η</w:t>
      </w:r>
      <w:r w:rsidR="009E285A" w:rsidRPr="00C7005D">
        <w:rPr>
          <w:rFonts w:ascii="Arial" w:hAnsi="Arial" w:cs="Arial"/>
          <w:color w:val="000000" w:themeColor="text1"/>
        </w:rPr>
        <w:t xml:space="preserve"> επόμενη αποπληρωμή ομολόγου </w:t>
      </w:r>
      <w:r w:rsidR="00F52E8A" w:rsidRPr="00C7005D">
        <w:rPr>
          <w:rFonts w:ascii="Arial" w:hAnsi="Arial" w:cs="Arial"/>
          <w:color w:val="000000" w:themeColor="text1"/>
        </w:rPr>
        <w:t xml:space="preserve">για τον Όμιλο </w:t>
      </w:r>
      <w:r w:rsidR="009E285A" w:rsidRPr="00C7005D">
        <w:rPr>
          <w:rFonts w:ascii="Arial" w:hAnsi="Arial" w:cs="Arial"/>
          <w:color w:val="000000" w:themeColor="text1"/>
        </w:rPr>
        <w:t>τοποθετείται τον Σεπτέμβριο του 2026 (</w:t>
      </w:r>
      <w:r w:rsidR="00F52E8A" w:rsidRPr="00C7005D">
        <w:rPr>
          <w:rFonts w:ascii="Arial" w:hAnsi="Arial" w:cs="Arial"/>
          <w:color w:val="000000" w:themeColor="text1"/>
        </w:rPr>
        <w:t xml:space="preserve">Ομόλογο </w:t>
      </w:r>
      <w:r w:rsidR="009E285A" w:rsidRPr="00C7005D">
        <w:rPr>
          <w:rFonts w:ascii="Arial" w:hAnsi="Arial" w:cs="Arial"/>
          <w:color w:val="000000" w:themeColor="text1"/>
        </w:rPr>
        <w:t>€500 εκατ.</w:t>
      </w:r>
      <w:r w:rsidR="00F52E8A" w:rsidRPr="00C7005D">
        <w:rPr>
          <w:rFonts w:ascii="Arial" w:hAnsi="Arial" w:cs="Arial"/>
          <w:color w:val="000000" w:themeColor="text1"/>
        </w:rPr>
        <w:t>,</w:t>
      </w:r>
      <w:r w:rsidR="009E285A" w:rsidRPr="00C7005D">
        <w:rPr>
          <w:rFonts w:ascii="Arial" w:hAnsi="Arial" w:cs="Arial"/>
          <w:color w:val="000000" w:themeColor="text1"/>
        </w:rPr>
        <w:t xml:space="preserve"> 0</w:t>
      </w:r>
      <w:r w:rsidR="00F52E8A" w:rsidRPr="00C7005D">
        <w:rPr>
          <w:rFonts w:ascii="Arial" w:hAnsi="Arial" w:cs="Arial"/>
          <w:color w:val="000000" w:themeColor="text1"/>
        </w:rPr>
        <w:t>,</w:t>
      </w:r>
      <w:r w:rsidR="009E285A" w:rsidRPr="00C7005D">
        <w:rPr>
          <w:rFonts w:ascii="Arial" w:hAnsi="Arial" w:cs="Arial"/>
          <w:color w:val="000000" w:themeColor="text1"/>
        </w:rPr>
        <w:t>875%)</w:t>
      </w:r>
      <w:r w:rsidR="00F52E8A" w:rsidRPr="00C7005D">
        <w:rPr>
          <w:rFonts w:ascii="Arial" w:hAnsi="Arial" w:cs="Arial"/>
          <w:color w:val="000000" w:themeColor="text1"/>
        </w:rPr>
        <w:t>.</w:t>
      </w:r>
      <w:r w:rsidR="009E285A" w:rsidRPr="00C7005D">
        <w:rPr>
          <w:rFonts w:ascii="Arial" w:hAnsi="Arial" w:cs="Arial"/>
          <w:color w:val="000000" w:themeColor="text1"/>
        </w:rPr>
        <w:t xml:space="preserve"> </w:t>
      </w:r>
    </w:p>
    <w:tbl>
      <w:tblPr>
        <w:tblStyle w:val="TableGrid"/>
        <w:tblW w:w="10593"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10"/>
        <w:gridCol w:w="1098"/>
        <w:gridCol w:w="1097"/>
        <w:gridCol w:w="1097"/>
        <w:gridCol w:w="1097"/>
        <w:gridCol w:w="1097"/>
        <w:gridCol w:w="1097"/>
      </w:tblGrid>
      <w:tr w:rsidR="001F130A" w:rsidRPr="00D6338A" w14:paraId="5CC2F4E0" w14:textId="77777777" w:rsidTr="001F130A">
        <w:trPr>
          <w:trHeight w:val="414"/>
        </w:trPr>
        <w:tc>
          <w:tcPr>
            <w:tcW w:w="401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050850" w14:textId="77777777" w:rsidR="001F130A" w:rsidRPr="00580CE4" w:rsidRDefault="001F130A" w:rsidP="001F130A">
            <w:pPr>
              <w:tabs>
                <w:tab w:val="left" w:pos="0"/>
                <w:tab w:val="left" w:pos="284"/>
              </w:tabs>
              <w:ind w:right="-90"/>
              <w:contextualSpacing/>
              <w:jc w:val="both"/>
              <w:rPr>
                <w:rFonts w:ascii="Arial" w:hAnsi="Arial" w:cs="Arial"/>
                <w:b/>
                <w:bCs/>
              </w:rPr>
            </w:pPr>
            <w:r w:rsidRPr="00580CE4">
              <w:rPr>
                <w:rFonts w:ascii="Arial" w:hAnsi="Arial" w:cs="Arial"/>
                <w:b/>
                <w:bCs/>
              </w:rPr>
              <w:t xml:space="preserve">Κύκλος Εργασιών </w:t>
            </w:r>
          </w:p>
          <w:p w14:paraId="76A409AF" w14:textId="196F55FC" w:rsidR="001F130A" w:rsidRPr="00D6338A" w:rsidRDefault="001F130A" w:rsidP="001F130A">
            <w:pPr>
              <w:pStyle w:val="ColorfulList-Accent11"/>
              <w:tabs>
                <w:tab w:val="left" w:pos="0"/>
                <w:tab w:val="left" w:pos="284"/>
              </w:tabs>
              <w:ind w:left="0" w:right="-90"/>
              <w:rPr>
                <w:rFonts w:ascii="Arial" w:hAnsi="Arial" w:cs="Arial"/>
                <w:b/>
                <w:color w:val="000000" w:themeColor="text1"/>
              </w:rPr>
            </w:pPr>
            <w:r w:rsidRPr="00580CE4">
              <w:rPr>
                <w:rFonts w:ascii="Arial" w:hAnsi="Arial" w:cs="Arial"/>
                <w:b/>
                <w:bCs/>
              </w:rPr>
              <w:t>(Εκατ. € )</w:t>
            </w:r>
          </w:p>
        </w:tc>
        <w:tc>
          <w:tcPr>
            <w:tcW w:w="1098"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3072C30" w14:textId="77777777"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Q4'24</w:t>
            </w:r>
          </w:p>
        </w:tc>
        <w:tc>
          <w:tcPr>
            <w:tcW w:w="1097" w:type="dxa"/>
            <w:tcBorders>
              <w:top w:val="single" w:sz="2" w:space="0" w:color="808080" w:themeColor="background1" w:themeShade="80"/>
              <w:left w:val="nil"/>
              <w:bottom w:val="single" w:sz="2" w:space="0" w:color="808080" w:themeColor="background1" w:themeShade="80"/>
              <w:right w:val="nil"/>
            </w:tcBorders>
            <w:vAlign w:val="center"/>
          </w:tcPr>
          <w:p w14:paraId="1536EE41" w14:textId="77777777"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Q4'23</w:t>
            </w:r>
          </w:p>
        </w:tc>
        <w:tc>
          <w:tcPr>
            <w:tcW w:w="109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75EEBA8" w14:textId="77777777"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y-o-y</w:t>
            </w:r>
          </w:p>
        </w:tc>
        <w:tc>
          <w:tcPr>
            <w:tcW w:w="109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F838724" w14:textId="77777777"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color w:val="000000" w:themeColor="text1"/>
              </w:rPr>
              <w:t>12M'24</w:t>
            </w:r>
          </w:p>
        </w:tc>
        <w:tc>
          <w:tcPr>
            <w:tcW w:w="1097" w:type="dxa"/>
            <w:tcBorders>
              <w:top w:val="single" w:sz="2" w:space="0" w:color="808080" w:themeColor="background1" w:themeShade="80"/>
              <w:left w:val="nil"/>
              <w:bottom w:val="single" w:sz="2" w:space="0" w:color="808080" w:themeColor="background1" w:themeShade="80"/>
              <w:right w:val="nil"/>
            </w:tcBorders>
            <w:vAlign w:val="center"/>
          </w:tcPr>
          <w:p w14:paraId="43E43456" w14:textId="77777777"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color w:val="000000" w:themeColor="text1"/>
              </w:rPr>
              <w:t>12M'23</w:t>
            </w:r>
          </w:p>
        </w:tc>
        <w:tc>
          <w:tcPr>
            <w:tcW w:w="1097" w:type="dxa"/>
            <w:tcBorders>
              <w:top w:val="single" w:sz="2" w:space="0" w:color="808080" w:themeColor="background1" w:themeShade="80"/>
              <w:left w:val="nil"/>
              <w:bottom w:val="single" w:sz="2" w:space="0" w:color="808080" w:themeColor="background1" w:themeShade="80"/>
              <w:right w:val="nil"/>
            </w:tcBorders>
            <w:vAlign w:val="center"/>
          </w:tcPr>
          <w:p w14:paraId="24B8B34A" w14:textId="77777777"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color w:val="000000" w:themeColor="text1"/>
              </w:rPr>
              <w:t>y-o-y</w:t>
            </w:r>
          </w:p>
        </w:tc>
      </w:tr>
      <w:tr w:rsidR="001F130A" w:rsidRPr="00D6338A" w14:paraId="2E338B9B" w14:textId="77777777" w:rsidTr="001F130A">
        <w:trPr>
          <w:trHeight w:val="305"/>
        </w:trPr>
        <w:tc>
          <w:tcPr>
            <w:tcW w:w="4010" w:type="dxa"/>
            <w:tcBorders>
              <w:top w:val="single" w:sz="2" w:space="0" w:color="808080" w:themeColor="background1" w:themeShade="80"/>
              <w:bottom w:val="nil"/>
              <w:right w:val="single" w:sz="2" w:space="0" w:color="808080" w:themeColor="background1" w:themeShade="80"/>
            </w:tcBorders>
            <w:vAlign w:val="center"/>
          </w:tcPr>
          <w:p w14:paraId="03BD0A5E" w14:textId="5BD39C0A" w:rsidR="001F130A" w:rsidRPr="00D6338A" w:rsidRDefault="001F130A" w:rsidP="001F130A">
            <w:pPr>
              <w:pStyle w:val="ColorfulList-Accent11"/>
              <w:tabs>
                <w:tab w:val="left" w:pos="0"/>
                <w:tab w:val="left" w:pos="284"/>
              </w:tabs>
              <w:ind w:left="0" w:right="-90"/>
              <w:rPr>
                <w:rFonts w:ascii="Arial" w:hAnsi="Arial" w:cs="Arial"/>
                <w:color w:val="000000" w:themeColor="text1"/>
              </w:rPr>
            </w:pPr>
            <w:r w:rsidRPr="00580CE4">
              <w:rPr>
                <w:rFonts w:ascii="Arial" w:hAnsi="Arial" w:cs="Arial"/>
              </w:rPr>
              <w:t>Ελλάδα</w:t>
            </w:r>
          </w:p>
        </w:tc>
        <w:tc>
          <w:tcPr>
            <w:tcW w:w="1098" w:type="dxa"/>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2D5FEA49" w14:textId="279C1200"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843</w:t>
            </w:r>
            <w:r w:rsidR="00F547CC">
              <w:rPr>
                <w:rFonts w:ascii="Arial" w:hAnsi="Arial" w:cs="Arial"/>
                <w:color w:val="000000" w:themeColor="text1"/>
              </w:rPr>
              <w:t>,</w:t>
            </w:r>
            <w:r w:rsidRPr="00D6338A">
              <w:rPr>
                <w:rFonts w:ascii="Arial" w:hAnsi="Arial" w:cs="Arial"/>
                <w:color w:val="000000" w:themeColor="text1"/>
              </w:rPr>
              <w:t>1</w:t>
            </w:r>
          </w:p>
        </w:tc>
        <w:tc>
          <w:tcPr>
            <w:tcW w:w="1097" w:type="dxa"/>
            <w:tcBorders>
              <w:top w:val="single" w:sz="2" w:space="0" w:color="808080" w:themeColor="background1" w:themeShade="80"/>
              <w:left w:val="nil"/>
              <w:bottom w:val="nil"/>
              <w:right w:val="nil"/>
            </w:tcBorders>
            <w:shd w:val="clear" w:color="auto" w:fill="auto"/>
            <w:vAlign w:val="center"/>
          </w:tcPr>
          <w:p w14:paraId="53ABB282" w14:textId="15D3F872"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854</w:t>
            </w:r>
            <w:r w:rsidR="00F547CC">
              <w:rPr>
                <w:rFonts w:ascii="Arial" w:hAnsi="Arial" w:cs="Arial"/>
                <w:color w:val="000000" w:themeColor="text1"/>
              </w:rPr>
              <w:t>,</w:t>
            </w:r>
            <w:r w:rsidRPr="00D6338A">
              <w:rPr>
                <w:rFonts w:ascii="Arial" w:hAnsi="Arial" w:cs="Arial"/>
                <w:color w:val="000000" w:themeColor="text1"/>
              </w:rPr>
              <w:t>8</w:t>
            </w:r>
          </w:p>
        </w:tc>
        <w:tc>
          <w:tcPr>
            <w:tcW w:w="1097" w:type="dxa"/>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7CEC03B5" w14:textId="0DEDD1B2"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-1</w:t>
            </w:r>
            <w:r w:rsidR="00F547CC">
              <w:rPr>
                <w:rFonts w:ascii="Arial" w:hAnsi="Arial" w:cs="Arial"/>
                <w:color w:val="000000" w:themeColor="text1"/>
              </w:rPr>
              <w:t>,</w:t>
            </w:r>
            <w:r w:rsidRPr="00D6338A">
              <w:rPr>
                <w:rFonts w:ascii="Arial" w:hAnsi="Arial" w:cs="Arial"/>
                <w:color w:val="000000" w:themeColor="text1"/>
              </w:rPr>
              <w:t>4%</w:t>
            </w:r>
          </w:p>
        </w:tc>
        <w:tc>
          <w:tcPr>
            <w:tcW w:w="1097" w:type="dxa"/>
            <w:tcBorders>
              <w:top w:val="single" w:sz="2" w:space="0" w:color="808080" w:themeColor="background1" w:themeShade="80"/>
              <w:left w:val="single" w:sz="2" w:space="0" w:color="808080" w:themeColor="background1" w:themeShade="80"/>
              <w:bottom w:val="nil"/>
              <w:right w:val="nil"/>
            </w:tcBorders>
            <w:vAlign w:val="center"/>
          </w:tcPr>
          <w:p w14:paraId="055738D5" w14:textId="4524530A"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3</w:t>
            </w:r>
            <w:r w:rsidR="00F547CC">
              <w:rPr>
                <w:rFonts w:ascii="Arial" w:hAnsi="Arial" w:cs="Arial"/>
                <w:color w:val="000000" w:themeColor="text1"/>
              </w:rPr>
              <w:t>.</w:t>
            </w:r>
            <w:r w:rsidRPr="00D6338A">
              <w:rPr>
                <w:rFonts w:ascii="Arial" w:hAnsi="Arial" w:cs="Arial"/>
                <w:color w:val="000000" w:themeColor="text1"/>
              </w:rPr>
              <w:t>334</w:t>
            </w:r>
            <w:r w:rsidR="00F547CC">
              <w:rPr>
                <w:rFonts w:ascii="Arial" w:hAnsi="Arial" w:cs="Arial"/>
                <w:color w:val="000000" w:themeColor="text1"/>
              </w:rPr>
              <w:t>,</w:t>
            </w:r>
            <w:r w:rsidRPr="00D6338A">
              <w:rPr>
                <w:rFonts w:ascii="Arial" w:hAnsi="Arial" w:cs="Arial"/>
                <w:color w:val="000000" w:themeColor="text1"/>
              </w:rPr>
              <w:t>0</w:t>
            </w:r>
          </w:p>
        </w:tc>
        <w:tc>
          <w:tcPr>
            <w:tcW w:w="1097" w:type="dxa"/>
            <w:tcBorders>
              <w:top w:val="single" w:sz="2" w:space="0" w:color="808080" w:themeColor="background1" w:themeShade="80"/>
              <w:left w:val="nil"/>
              <w:bottom w:val="nil"/>
              <w:right w:val="nil"/>
            </w:tcBorders>
            <w:vAlign w:val="center"/>
          </w:tcPr>
          <w:p w14:paraId="7E2C0370" w14:textId="19266A52"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3</w:t>
            </w:r>
            <w:r w:rsidR="00F547CC">
              <w:rPr>
                <w:rFonts w:ascii="Arial" w:hAnsi="Arial" w:cs="Arial"/>
                <w:color w:val="000000" w:themeColor="text1"/>
              </w:rPr>
              <w:t>.</w:t>
            </w:r>
            <w:r w:rsidRPr="00D6338A">
              <w:rPr>
                <w:rFonts w:ascii="Arial" w:hAnsi="Arial" w:cs="Arial"/>
                <w:color w:val="000000" w:themeColor="text1"/>
              </w:rPr>
              <w:t>189</w:t>
            </w:r>
            <w:r w:rsidR="00F547CC">
              <w:rPr>
                <w:rFonts w:ascii="Arial" w:hAnsi="Arial" w:cs="Arial"/>
                <w:color w:val="000000" w:themeColor="text1"/>
              </w:rPr>
              <w:t>,</w:t>
            </w:r>
            <w:r w:rsidRPr="00D6338A">
              <w:rPr>
                <w:rFonts w:ascii="Arial" w:hAnsi="Arial" w:cs="Arial"/>
                <w:color w:val="000000" w:themeColor="text1"/>
              </w:rPr>
              <w:t>4</w:t>
            </w:r>
          </w:p>
        </w:tc>
        <w:tc>
          <w:tcPr>
            <w:tcW w:w="1097" w:type="dxa"/>
            <w:tcBorders>
              <w:top w:val="single" w:sz="2" w:space="0" w:color="808080" w:themeColor="background1" w:themeShade="80"/>
              <w:left w:val="nil"/>
              <w:bottom w:val="nil"/>
              <w:right w:val="nil"/>
            </w:tcBorders>
            <w:vAlign w:val="center"/>
          </w:tcPr>
          <w:p w14:paraId="798CEB80" w14:textId="5B99D490"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+4</w:t>
            </w:r>
            <w:r w:rsidR="00F547CC">
              <w:rPr>
                <w:rFonts w:ascii="Arial" w:hAnsi="Arial" w:cs="Arial"/>
                <w:color w:val="000000" w:themeColor="text1"/>
              </w:rPr>
              <w:t>,</w:t>
            </w:r>
            <w:r w:rsidRPr="00D6338A">
              <w:rPr>
                <w:rFonts w:ascii="Arial" w:hAnsi="Arial" w:cs="Arial"/>
                <w:color w:val="000000" w:themeColor="text1"/>
              </w:rPr>
              <w:t>5%</w:t>
            </w:r>
          </w:p>
        </w:tc>
      </w:tr>
      <w:tr w:rsidR="001F130A" w:rsidRPr="00D6338A" w14:paraId="2C814D4A" w14:textId="77777777" w:rsidTr="001F130A">
        <w:trPr>
          <w:trHeight w:val="293"/>
        </w:trPr>
        <w:tc>
          <w:tcPr>
            <w:tcW w:w="4010" w:type="dxa"/>
            <w:tcBorders>
              <w:top w:val="nil"/>
              <w:bottom w:val="nil"/>
              <w:right w:val="single" w:sz="2" w:space="0" w:color="808080" w:themeColor="background1" w:themeShade="80"/>
            </w:tcBorders>
            <w:vAlign w:val="center"/>
          </w:tcPr>
          <w:p w14:paraId="7ABAC7F4" w14:textId="6946F065" w:rsidR="001F130A" w:rsidRPr="00D6338A" w:rsidRDefault="001F130A" w:rsidP="001F130A">
            <w:pPr>
              <w:pStyle w:val="ColorfulList-Accent11"/>
              <w:tabs>
                <w:tab w:val="left" w:pos="0"/>
                <w:tab w:val="left" w:pos="284"/>
              </w:tabs>
              <w:ind w:left="0" w:right="-90"/>
              <w:rPr>
                <w:rFonts w:ascii="Arial" w:hAnsi="Arial" w:cs="Arial"/>
                <w:color w:val="000000" w:themeColor="text1"/>
              </w:rPr>
            </w:pPr>
            <w:r w:rsidRPr="00580CE4">
              <w:rPr>
                <w:rFonts w:ascii="Arial" w:hAnsi="Arial" w:cs="Arial"/>
              </w:rPr>
              <w:t>Ρουμανία κινητή</w:t>
            </w:r>
          </w:p>
        </w:tc>
        <w:tc>
          <w:tcPr>
            <w:tcW w:w="1098" w:type="dxa"/>
            <w:tcBorders>
              <w:top w:val="nil"/>
              <w:left w:val="single" w:sz="2" w:space="0" w:color="808080" w:themeColor="background1" w:themeShade="80"/>
              <w:bottom w:val="nil"/>
              <w:right w:val="nil"/>
            </w:tcBorders>
            <w:shd w:val="clear" w:color="auto" w:fill="auto"/>
            <w:vAlign w:val="center"/>
          </w:tcPr>
          <w:p w14:paraId="5987FE22" w14:textId="3C56924A"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64</w:t>
            </w:r>
            <w:r w:rsidR="00F547CC">
              <w:rPr>
                <w:rFonts w:ascii="Arial" w:hAnsi="Arial" w:cs="Arial"/>
                <w:color w:val="000000" w:themeColor="text1"/>
              </w:rPr>
              <w:t>,</w:t>
            </w:r>
            <w:r w:rsidRPr="00D6338A">
              <w:rPr>
                <w:rFonts w:ascii="Arial" w:hAnsi="Arial" w:cs="Arial"/>
                <w:color w:val="000000" w:themeColor="text1"/>
              </w:rPr>
              <w:t>0</w:t>
            </w:r>
          </w:p>
        </w:tc>
        <w:tc>
          <w:tcPr>
            <w:tcW w:w="1097" w:type="dxa"/>
            <w:tcBorders>
              <w:top w:val="nil"/>
              <w:left w:val="nil"/>
              <w:bottom w:val="nil"/>
              <w:right w:val="nil"/>
            </w:tcBorders>
            <w:shd w:val="clear" w:color="auto" w:fill="auto"/>
            <w:vAlign w:val="center"/>
          </w:tcPr>
          <w:p w14:paraId="512D4454" w14:textId="3682B0CC"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77</w:t>
            </w:r>
            <w:r w:rsidR="00F547CC">
              <w:rPr>
                <w:rFonts w:ascii="Arial" w:hAnsi="Arial" w:cs="Arial"/>
                <w:color w:val="000000" w:themeColor="text1"/>
              </w:rPr>
              <w:t>,</w:t>
            </w:r>
            <w:r w:rsidRPr="00D6338A">
              <w:rPr>
                <w:rFonts w:ascii="Arial" w:hAnsi="Arial" w:cs="Arial"/>
                <w:color w:val="000000" w:themeColor="text1"/>
              </w:rPr>
              <w:t>5</w:t>
            </w:r>
          </w:p>
        </w:tc>
        <w:tc>
          <w:tcPr>
            <w:tcW w:w="1097" w:type="dxa"/>
            <w:tcBorders>
              <w:top w:val="nil"/>
              <w:left w:val="nil"/>
              <w:bottom w:val="nil"/>
              <w:right w:val="single" w:sz="2" w:space="0" w:color="808080" w:themeColor="background1" w:themeShade="80"/>
            </w:tcBorders>
            <w:shd w:val="clear" w:color="auto" w:fill="auto"/>
            <w:vAlign w:val="center"/>
          </w:tcPr>
          <w:p w14:paraId="50A32C85" w14:textId="01B369FE"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-17</w:t>
            </w:r>
            <w:r w:rsidR="00F547CC">
              <w:rPr>
                <w:rFonts w:ascii="Arial" w:hAnsi="Arial" w:cs="Arial"/>
                <w:color w:val="000000" w:themeColor="text1"/>
              </w:rPr>
              <w:t>,</w:t>
            </w:r>
            <w:r w:rsidRPr="00D6338A">
              <w:rPr>
                <w:rFonts w:ascii="Arial" w:hAnsi="Arial" w:cs="Arial"/>
                <w:color w:val="000000" w:themeColor="text1"/>
              </w:rPr>
              <w:t>4%</w:t>
            </w:r>
          </w:p>
        </w:tc>
        <w:tc>
          <w:tcPr>
            <w:tcW w:w="1097" w:type="dxa"/>
            <w:tcBorders>
              <w:top w:val="nil"/>
              <w:left w:val="single" w:sz="2" w:space="0" w:color="808080" w:themeColor="background1" w:themeShade="80"/>
              <w:bottom w:val="nil"/>
              <w:right w:val="nil"/>
            </w:tcBorders>
            <w:vAlign w:val="center"/>
          </w:tcPr>
          <w:p w14:paraId="1EEFDAA3" w14:textId="259BAEB0"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263</w:t>
            </w:r>
            <w:r w:rsidR="00F547CC">
              <w:rPr>
                <w:rFonts w:ascii="Arial" w:hAnsi="Arial" w:cs="Arial"/>
                <w:color w:val="000000" w:themeColor="text1"/>
              </w:rPr>
              <w:t>,</w:t>
            </w:r>
            <w:r w:rsidRPr="00D6338A">
              <w:rPr>
                <w:rFonts w:ascii="Arial" w:hAnsi="Arial" w:cs="Arial"/>
                <w:color w:val="000000" w:themeColor="text1"/>
              </w:rPr>
              <w:t>3</w:t>
            </w:r>
          </w:p>
        </w:tc>
        <w:tc>
          <w:tcPr>
            <w:tcW w:w="1097" w:type="dxa"/>
            <w:tcBorders>
              <w:top w:val="nil"/>
              <w:left w:val="nil"/>
              <w:bottom w:val="nil"/>
              <w:right w:val="nil"/>
            </w:tcBorders>
            <w:vAlign w:val="center"/>
          </w:tcPr>
          <w:p w14:paraId="72A35D67" w14:textId="0F5647B9"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286</w:t>
            </w:r>
            <w:r w:rsidR="00F547CC">
              <w:rPr>
                <w:rFonts w:ascii="Arial" w:hAnsi="Arial" w:cs="Arial"/>
                <w:color w:val="000000" w:themeColor="text1"/>
              </w:rPr>
              <w:t>,</w:t>
            </w:r>
            <w:r w:rsidRPr="00D6338A">
              <w:rPr>
                <w:rFonts w:ascii="Arial" w:hAnsi="Arial" w:cs="Arial"/>
                <w:color w:val="000000" w:themeColor="text1"/>
              </w:rPr>
              <w:t>9</w:t>
            </w:r>
          </w:p>
        </w:tc>
        <w:tc>
          <w:tcPr>
            <w:tcW w:w="1097" w:type="dxa"/>
            <w:tcBorders>
              <w:top w:val="nil"/>
              <w:left w:val="nil"/>
              <w:bottom w:val="nil"/>
              <w:right w:val="nil"/>
            </w:tcBorders>
            <w:vAlign w:val="center"/>
          </w:tcPr>
          <w:p w14:paraId="00432F7C" w14:textId="31D2C60C"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-8</w:t>
            </w:r>
            <w:r w:rsidR="00F547CC">
              <w:rPr>
                <w:rFonts w:ascii="Arial" w:hAnsi="Arial" w:cs="Arial"/>
                <w:color w:val="000000" w:themeColor="text1"/>
              </w:rPr>
              <w:t>,</w:t>
            </w:r>
            <w:r w:rsidRPr="00D6338A">
              <w:rPr>
                <w:rFonts w:ascii="Arial" w:hAnsi="Arial" w:cs="Arial"/>
                <w:color w:val="000000" w:themeColor="text1"/>
              </w:rPr>
              <w:t>2%</w:t>
            </w:r>
          </w:p>
        </w:tc>
      </w:tr>
      <w:tr w:rsidR="001F130A" w:rsidRPr="00D6338A" w14:paraId="1F3836AD" w14:textId="77777777" w:rsidTr="001F130A">
        <w:trPr>
          <w:trHeight w:val="305"/>
        </w:trPr>
        <w:tc>
          <w:tcPr>
            <w:tcW w:w="4010" w:type="dxa"/>
            <w:tcBorders>
              <w:top w:val="nil"/>
              <w:bottom w:val="single" w:sz="4" w:space="0" w:color="A6A6A6" w:themeColor="background1" w:themeShade="A6"/>
              <w:right w:val="single" w:sz="2" w:space="0" w:color="808080" w:themeColor="background1" w:themeShade="80"/>
            </w:tcBorders>
            <w:vAlign w:val="center"/>
          </w:tcPr>
          <w:p w14:paraId="31E7A378" w14:textId="529138A5" w:rsidR="001F130A" w:rsidRPr="00D6338A" w:rsidRDefault="001F130A" w:rsidP="001F130A">
            <w:pPr>
              <w:pStyle w:val="ColorfulList-Accent11"/>
              <w:tabs>
                <w:tab w:val="left" w:pos="0"/>
                <w:tab w:val="left" w:pos="284"/>
              </w:tabs>
              <w:ind w:left="0" w:right="-90"/>
              <w:rPr>
                <w:rFonts w:ascii="Arial" w:hAnsi="Arial" w:cs="Arial"/>
                <w:i/>
                <w:color w:val="000000" w:themeColor="text1"/>
              </w:rPr>
            </w:pPr>
            <w:r w:rsidRPr="00580CE4">
              <w:rPr>
                <w:rFonts w:ascii="Arial" w:hAnsi="Arial" w:cs="Arial"/>
                <w:i/>
                <w:iCs/>
              </w:rPr>
              <w:lastRenderedPageBreak/>
              <w:t>Ενδοομιλικές απαλοιφές</w:t>
            </w:r>
          </w:p>
        </w:tc>
        <w:tc>
          <w:tcPr>
            <w:tcW w:w="1098" w:type="dxa"/>
            <w:tcBorders>
              <w:top w:val="nil"/>
              <w:left w:val="single" w:sz="2" w:space="0" w:color="808080" w:themeColor="background1" w:themeShade="80"/>
              <w:bottom w:val="single" w:sz="4" w:space="0" w:color="A6A6A6" w:themeColor="background1" w:themeShade="A6"/>
              <w:right w:val="nil"/>
            </w:tcBorders>
            <w:shd w:val="clear" w:color="auto" w:fill="auto"/>
            <w:vAlign w:val="center"/>
          </w:tcPr>
          <w:p w14:paraId="56AECE3E" w14:textId="0C5AEC62"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(1</w:t>
            </w:r>
            <w:r w:rsidR="00F547CC">
              <w:rPr>
                <w:rFonts w:ascii="Arial" w:hAnsi="Arial" w:cs="Arial"/>
                <w:i/>
                <w:iCs/>
                <w:color w:val="000000" w:themeColor="text1"/>
              </w:rPr>
              <w:t>,</w:t>
            </w:r>
            <w:r w:rsidRPr="00D6338A">
              <w:rPr>
                <w:rFonts w:ascii="Arial" w:hAnsi="Arial" w:cs="Arial"/>
                <w:i/>
                <w:iCs/>
                <w:color w:val="000000" w:themeColor="text1"/>
              </w:rPr>
              <w:t>8)</w:t>
            </w:r>
          </w:p>
        </w:tc>
        <w:tc>
          <w:tcPr>
            <w:tcW w:w="1097" w:type="dxa"/>
            <w:tcBorders>
              <w:top w:val="nil"/>
              <w:left w:val="nil"/>
              <w:bottom w:val="single" w:sz="4" w:space="0" w:color="A6A6A6" w:themeColor="background1" w:themeShade="A6"/>
              <w:right w:val="nil"/>
            </w:tcBorders>
            <w:shd w:val="clear" w:color="auto" w:fill="auto"/>
            <w:vAlign w:val="center"/>
          </w:tcPr>
          <w:p w14:paraId="0B2B15F1" w14:textId="6A7129A9"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(2</w:t>
            </w:r>
            <w:r w:rsidR="00F547CC">
              <w:rPr>
                <w:rFonts w:ascii="Arial" w:hAnsi="Arial" w:cs="Arial"/>
                <w:i/>
                <w:iCs/>
                <w:color w:val="000000" w:themeColor="text1"/>
              </w:rPr>
              <w:t>,</w:t>
            </w:r>
            <w:r w:rsidRPr="00D6338A">
              <w:rPr>
                <w:rFonts w:ascii="Arial" w:hAnsi="Arial" w:cs="Arial"/>
                <w:i/>
                <w:iCs/>
                <w:color w:val="000000" w:themeColor="text1"/>
              </w:rPr>
              <w:t>1)</w:t>
            </w:r>
          </w:p>
        </w:tc>
        <w:tc>
          <w:tcPr>
            <w:tcW w:w="1097" w:type="dxa"/>
            <w:tcBorders>
              <w:top w:val="nil"/>
              <w:left w:val="nil"/>
              <w:bottom w:val="single" w:sz="4" w:space="0" w:color="A6A6A6" w:themeColor="background1" w:themeShade="A6"/>
              <w:right w:val="single" w:sz="2" w:space="0" w:color="808080" w:themeColor="background1" w:themeShade="80"/>
            </w:tcBorders>
            <w:shd w:val="clear" w:color="auto" w:fill="auto"/>
            <w:vAlign w:val="center"/>
          </w:tcPr>
          <w:p w14:paraId="0EF563DE" w14:textId="5DB3D4ED"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-14</w:t>
            </w:r>
            <w:r w:rsidR="00F547CC">
              <w:rPr>
                <w:rFonts w:ascii="Arial" w:hAnsi="Arial" w:cs="Arial"/>
                <w:i/>
                <w:iCs/>
                <w:color w:val="000000" w:themeColor="text1"/>
              </w:rPr>
              <w:t>,</w:t>
            </w:r>
            <w:r w:rsidRPr="00D6338A">
              <w:rPr>
                <w:rFonts w:ascii="Arial" w:hAnsi="Arial" w:cs="Arial"/>
                <w:i/>
                <w:iCs/>
                <w:color w:val="000000" w:themeColor="text1"/>
              </w:rPr>
              <w:t>3%</w:t>
            </w:r>
          </w:p>
        </w:tc>
        <w:tc>
          <w:tcPr>
            <w:tcW w:w="1097" w:type="dxa"/>
            <w:tcBorders>
              <w:top w:val="nil"/>
              <w:left w:val="single" w:sz="2" w:space="0" w:color="808080" w:themeColor="background1" w:themeShade="80"/>
              <w:bottom w:val="single" w:sz="4" w:space="0" w:color="A6A6A6" w:themeColor="background1" w:themeShade="A6"/>
              <w:right w:val="nil"/>
            </w:tcBorders>
            <w:vAlign w:val="center"/>
          </w:tcPr>
          <w:p w14:paraId="770500A8" w14:textId="2B96823D"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(6</w:t>
            </w:r>
            <w:r w:rsidR="00F547CC">
              <w:rPr>
                <w:rFonts w:ascii="Arial" w:hAnsi="Arial" w:cs="Arial"/>
                <w:i/>
                <w:iCs/>
                <w:color w:val="000000" w:themeColor="text1"/>
              </w:rPr>
              <w:t>,</w:t>
            </w:r>
            <w:r w:rsidRPr="00D6338A">
              <w:rPr>
                <w:rFonts w:ascii="Arial" w:hAnsi="Arial" w:cs="Arial"/>
                <w:i/>
                <w:iCs/>
                <w:color w:val="000000" w:themeColor="text1"/>
              </w:rPr>
              <w:t>5)</w:t>
            </w:r>
          </w:p>
        </w:tc>
        <w:tc>
          <w:tcPr>
            <w:tcW w:w="1097" w:type="dxa"/>
            <w:tcBorders>
              <w:top w:val="nil"/>
              <w:left w:val="nil"/>
              <w:bottom w:val="single" w:sz="4" w:space="0" w:color="A6A6A6" w:themeColor="background1" w:themeShade="A6"/>
              <w:right w:val="nil"/>
            </w:tcBorders>
            <w:vAlign w:val="center"/>
          </w:tcPr>
          <w:p w14:paraId="15F7120A" w14:textId="0AC76AF8"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(7</w:t>
            </w:r>
            <w:r w:rsidR="00F547CC">
              <w:rPr>
                <w:rFonts w:ascii="Arial" w:hAnsi="Arial" w:cs="Arial"/>
                <w:i/>
                <w:iCs/>
                <w:color w:val="000000" w:themeColor="text1"/>
              </w:rPr>
              <w:t>,</w:t>
            </w:r>
            <w:r w:rsidRPr="00D6338A">
              <w:rPr>
                <w:rFonts w:ascii="Arial" w:hAnsi="Arial" w:cs="Arial"/>
                <w:i/>
                <w:iCs/>
                <w:color w:val="000000" w:themeColor="text1"/>
              </w:rPr>
              <w:t>4)</w:t>
            </w:r>
          </w:p>
        </w:tc>
        <w:tc>
          <w:tcPr>
            <w:tcW w:w="1097" w:type="dxa"/>
            <w:tcBorders>
              <w:top w:val="nil"/>
              <w:left w:val="nil"/>
              <w:bottom w:val="single" w:sz="4" w:space="0" w:color="A6A6A6" w:themeColor="background1" w:themeShade="A6"/>
              <w:right w:val="nil"/>
            </w:tcBorders>
            <w:vAlign w:val="center"/>
          </w:tcPr>
          <w:p w14:paraId="427BB76A" w14:textId="293E3193"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-12</w:t>
            </w:r>
            <w:r w:rsidR="00F547CC">
              <w:rPr>
                <w:rFonts w:ascii="Arial" w:hAnsi="Arial" w:cs="Arial"/>
                <w:i/>
                <w:iCs/>
                <w:color w:val="000000" w:themeColor="text1"/>
              </w:rPr>
              <w:t>,</w:t>
            </w:r>
            <w:r w:rsidRPr="00D6338A">
              <w:rPr>
                <w:rFonts w:ascii="Arial" w:hAnsi="Arial" w:cs="Arial"/>
                <w:i/>
                <w:iCs/>
                <w:color w:val="000000" w:themeColor="text1"/>
              </w:rPr>
              <w:t>2%</w:t>
            </w:r>
          </w:p>
        </w:tc>
      </w:tr>
      <w:tr w:rsidR="001F130A" w:rsidRPr="00D6338A" w14:paraId="0012A784" w14:textId="77777777" w:rsidTr="001F130A">
        <w:trPr>
          <w:trHeight w:val="293"/>
        </w:trPr>
        <w:tc>
          <w:tcPr>
            <w:tcW w:w="4010" w:type="dxa"/>
            <w:tcBorders>
              <w:top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6B0046" w14:textId="6791797D" w:rsidR="001F130A" w:rsidRPr="00D6338A" w:rsidRDefault="001F130A" w:rsidP="001F130A">
            <w:pPr>
              <w:pStyle w:val="ColorfulList-Accent11"/>
              <w:tabs>
                <w:tab w:val="left" w:pos="0"/>
                <w:tab w:val="left" w:pos="284"/>
              </w:tabs>
              <w:ind w:left="0" w:right="-90"/>
              <w:rPr>
                <w:rFonts w:ascii="Arial" w:hAnsi="Arial" w:cs="Arial"/>
                <w:b/>
                <w:color w:val="000000" w:themeColor="text1"/>
              </w:rPr>
            </w:pPr>
            <w:r w:rsidRPr="00563E82">
              <w:rPr>
                <w:rFonts w:ascii="Arial" w:hAnsi="Arial" w:cs="Arial"/>
                <w:b/>
                <w:bCs/>
              </w:rPr>
              <w:t>Όμιλος ΟΤΕ</w:t>
            </w:r>
          </w:p>
        </w:tc>
        <w:tc>
          <w:tcPr>
            <w:tcW w:w="1098"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1C1FDBE" w14:textId="7C942FF0"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bCs/>
                <w:color w:val="000000" w:themeColor="text1"/>
              </w:rPr>
              <w:t>905</w:t>
            </w:r>
            <w:r w:rsidR="00F547CC">
              <w:rPr>
                <w:rFonts w:ascii="Arial" w:hAnsi="Arial" w:cs="Arial"/>
                <w:b/>
                <w:bCs/>
                <w:color w:val="000000" w:themeColor="text1"/>
              </w:rPr>
              <w:t>,</w:t>
            </w:r>
            <w:r w:rsidRPr="00D6338A">
              <w:rPr>
                <w:rFonts w:ascii="Arial" w:hAnsi="Arial" w:cs="Arial"/>
                <w:b/>
                <w:bCs/>
                <w:color w:val="000000" w:themeColor="text1"/>
              </w:rPr>
              <w:t>3</w:t>
            </w:r>
          </w:p>
        </w:tc>
        <w:tc>
          <w:tcPr>
            <w:tcW w:w="109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0A300684" w14:textId="06DB0441"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bCs/>
                <w:color w:val="000000" w:themeColor="text1"/>
              </w:rPr>
              <w:t>930</w:t>
            </w:r>
            <w:r w:rsidR="00F547CC">
              <w:rPr>
                <w:rFonts w:ascii="Arial" w:hAnsi="Arial" w:cs="Arial"/>
                <w:b/>
                <w:bCs/>
                <w:color w:val="000000" w:themeColor="text1"/>
              </w:rPr>
              <w:t>,</w:t>
            </w:r>
            <w:r w:rsidRPr="00D6338A">
              <w:rPr>
                <w:rFonts w:ascii="Arial" w:hAnsi="Arial" w:cs="Arial"/>
                <w:b/>
                <w:bCs/>
                <w:color w:val="000000" w:themeColor="text1"/>
              </w:rPr>
              <w:t>2</w:t>
            </w:r>
          </w:p>
        </w:tc>
        <w:tc>
          <w:tcPr>
            <w:tcW w:w="1097" w:type="dxa"/>
            <w:tcBorders>
              <w:top w:val="single" w:sz="4" w:space="0" w:color="A6A6A6" w:themeColor="background1" w:themeShade="A6"/>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76BB09" w14:textId="567D19D0"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bCs/>
                <w:color w:val="000000" w:themeColor="text1"/>
              </w:rPr>
              <w:t>-2</w:t>
            </w:r>
            <w:r w:rsidR="00F547CC">
              <w:rPr>
                <w:rFonts w:ascii="Arial" w:hAnsi="Arial" w:cs="Arial"/>
                <w:b/>
                <w:bCs/>
                <w:color w:val="000000" w:themeColor="text1"/>
              </w:rPr>
              <w:t>,</w:t>
            </w:r>
            <w:r w:rsidRPr="00D6338A">
              <w:rPr>
                <w:rFonts w:ascii="Arial" w:hAnsi="Arial" w:cs="Arial"/>
                <w:b/>
                <w:bCs/>
                <w:color w:val="000000" w:themeColor="text1"/>
              </w:rPr>
              <w:t>7%</w:t>
            </w:r>
          </w:p>
        </w:tc>
        <w:tc>
          <w:tcPr>
            <w:tcW w:w="1097"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8F24B3C" w14:textId="6D4F158B"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bCs/>
                <w:color w:val="000000" w:themeColor="text1"/>
              </w:rPr>
              <w:t>3</w:t>
            </w:r>
            <w:r w:rsidR="00F547CC">
              <w:rPr>
                <w:rFonts w:ascii="Arial" w:hAnsi="Arial" w:cs="Arial"/>
                <w:b/>
                <w:bCs/>
                <w:color w:val="000000" w:themeColor="text1"/>
              </w:rPr>
              <w:t>.</w:t>
            </w:r>
            <w:r w:rsidRPr="00D6338A">
              <w:rPr>
                <w:rFonts w:ascii="Arial" w:hAnsi="Arial" w:cs="Arial"/>
                <w:b/>
                <w:bCs/>
                <w:color w:val="000000" w:themeColor="text1"/>
              </w:rPr>
              <w:t>590</w:t>
            </w:r>
            <w:r w:rsidR="00F547CC">
              <w:rPr>
                <w:rFonts w:ascii="Arial" w:hAnsi="Arial" w:cs="Arial"/>
                <w:b/>
                <w:bCs/>
                <w:color w:val="000000" w:themeColor="text1"/>
              </w:rPr>
              <w:t>,</w:t>
            </w:r>
            <w:r w:rsidRPr="00D6338A">
              <w:rPr>
                <w:rFonts w:ascii="Arial" w:hAnsi="Arial" w:cs="Arial"/>
                <w:b/>
                <w:bCs/>
                <w:color w:val="000000" w:themeColor="text1"/>
              </w:rPr>
              <w:t>8</w:t>
            </w:r>
          </w:p>
        </w:tc>
        <w:tc>
          <w:tcPr>
            <w:tcW w:w="109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423D1AFB" w14:textId="5CAD43E8"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bCs/>
                <w:color w:val="000000" w:themeColor="text1"/>
              </w:rPr>
              <w:t>3</w:t>
            </w:r>
            <w:r w:rsidR="00F547CC">
              <w:rPr>
                <w:rFonts w:ascii="Arial" w:hAnsi="Arial" w:cs="Arial"/>
                <w:b/>
                <w:bCs/>
                <w:color w:val="000000" w:themeColor="text1"/>
              </w:rPr>
              <w:t>.</w:t>
            </w:r>
            <w:r w:rsidRPr="00D6338A">
              <w:rPr>
                <w:rFonts w:ascii="Arial" w:hAnsi="Arial" w:cs="Arial"/>
                <w:b/>
                <w:bCs/>
                <w:color w:val="000000" w:themeColor="text1"/>
              </w:rPr>
              <w:t>468</w:t>
            </w:r>
            <w:r w:rsidR="00F547CC">
              <w:rPr>
                <w:rFonts w:ascii="Arial" w:hAnsi="Arial" w:cs="Arial"/>
                <w:b/>
                <w:bCs/>
                <w:color w:val="000000" w:themeColor="text1"/>
              </w:rPr>
              <w:t>,</w:t>
            </w:r>
            <w:r w:rsidRPr="00D6338A">
              <w:rPr>
                <w:rFonts w:ascii="Arial" w:hAnsi="Arial" w:cs="Arial"/>
                <w:b/>
                <w:bCs/>
                <w:color w:val="000000" w:themeColor="text1"/>
              </w:rPr>
              <w:t>9</w:t>
            </w:r>
          </w:p>
        </w:tc>
        <w:tc>
          <w:tcPr>
            <w:tcW w:w="109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3D40F563" w14:textId="3C93E6EB"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bCs/>
                <w:color w:val="000000" w:themeColor="text1"/>
              </w:rPr>
              <w:t>+3</w:t>
            </w:r>
            <w:r w:rsidR="00F547CC">
              <w:rPr>
                <w:rFonts w:ascii="Arial" w:hAnsi="Arial" w:cs="Arial"/>
                <w:b/>
                <w:bCs/>
                <w:color w:val="000000" w:themeColor="text1"/>
              </w:rPr>
              <w:t>,</w:t>
            </w:r>
            <w:r w:rsidRPr="00D6338A">
              <w:rPr>
                <w:rFonts w:ascii="Arial" w:hAnsi="Arial" w:cs="Arial"/>
                <w:b/>
                <w:bCs/>
                <w:color w:val="000000" w:themeColor="text1"/>
              </w:rPr>
              <w:t>5%</w:t>
            </w:r>
          </w:p>
        </w:tc>
      </w:tr>
    </w:tbl>
    <w:p w14:paraId="711FFD59" w14:textId="3AD69434" w:rsidR="00403919" w:rsidRDefault="00403919" w:rsidP="009E285A">
      <w:pPr>
        <w:jc w:val="both"/>
        <w:rPr>
          <w:rFonts w:ascii="Arial" w:hAnsi="Arial" w:cs="Arial"/>
          <w:b/>
          <w:bCs/>
          <w:lang w:val="en-US"/>
        </w:rPr>
      </w:pPr>
    </w:p>
    <w:tbl>
      <w:tblPr>
        <w:tblStyle w:val="TableGrid"/>
        <w:tblW w:w="10645"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4043"/>
        <w:gridCol w:w="1101"/>
        <w:gridCol w:w="1101"/>
        <w:gridCol w:w="1100"/>
        <w:gridCol w:w="1100"/>
        <w:gridCol w:w="1100"/>
        <w:gridCol w:w="1100"/>
      </w:tblGrid>
      <w:tr w:rsidR="000C1D79" w:rsidRPr="000C1D79" w14:paraId="14101667" w14:textId="77777777" w:rsidTr="000C1D79">
        <w:trPr>
          <w:trHeight w:val="414"/>
        </w:trPr>
        <w:tc>
          <w:tcPr>
            <w:tcW w:w="4043" w:type="dxa"/>
            <w:tcBorders>
              <w:top w:val="single" w:sz="2" w:space="0" w:color="808080"/>
              <w:bottom w:val="single" w:sz="2" w:space="0" w:color="808080"/>
              <w:right w:val="single" w:sz="2" w:space="0" w:color="808080"/>
            </w:tcBorders>
            <w:vAlign w:val="bottom"/>
          </w:tcPr>
          <w:p w14:paraId="05A3533B" w14:textId="77777777" w:rsidR="000C1D79" w:rsidRPr="00580CE4" w:rsidRDefault="000C1D79" w:rsidP="000C1D79">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1AE5E967" w14:textId="65BCB714" w:rsidR="000C1D79" w:rsidRPr="000C1D79" w:rsidRDefault="000C1D79" w:rsidP="000C1D79">
            <w:pPr>
              <w:tabs>
                <w:tab w:val="left" w:pos="4047"/>
              </w:tabs>
              <w:ind w:left="-108"/>
              <w:rPr>
                <w:rFonts w:ascii="Arial" w:hAnsi="Arial" w:cs="Arial"/>
                <w:b/>
                <w:color w:val="000000"/>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101" w:type="dxa"/>
            <w:tcBorders>
              <w:top w:val="single" w:sz="2" w:space="0" w:color="808080"/>
              <w:left w:val="single" w:sz="2" w:space="0" w:color="808080"/>
              <w:bottom w:val="single" w:sz="2" w:space="0" w:color="808080"/>
              <w:right w:val="nil"/>
            </w:tcBorders>
            <w:vAlign w:val="center"/>
          </w:tcPr>
          <w:p w14:paraId="0713D7BF" w14:textId="77777777" w:rsidR="000C1D79" w:rsidRPr="000C1D79" w:rsidRDefault="000C1D79"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Q4'24</w:t>
            </w:r>
          </w:p>
        </w:tc>
        <w:tc>
          <w:tcPr>
            <w:tcW w:w="1101" w:type="dxa"/>
            <w:tcBorders>
              <w:top w:val="single" w:sz="2" w:space="0" w:color="808080"/>
              <w:left w:val="nil"/>
              <w:bottom w:val="single" w:sz="2" w:space="0" w:color="808080"/>
              <w:right w:val="nil"/>
            </w:tcBorders>
            <w:vAlign w:val="center"/>
          </w:tcPr>
          <w:p w14:paraId="1F4873A2" w14:textId="77777777" w:rsidR="000C1D79" w:rsidRPr="000C1D79" w:rsidRDefault="000C1D79"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Q4'23</w:t>
            </w:r>
          </w:p>
        </w:tc>
        <w:tc>
          <w:tcPr>
            <w:tcW w:w="1100" w:type="dxa"/>
            <w:tcBorders>
              <w:top w:val="single" w:sz="2" w:space="0" w:color="808080"/>
              <w:left w:val="nil"/>
              <w:bottom w:val="single" w:sz="2" w:space="0" w:color="808080"/>
              <w:right w:val="single" w:sz="2" w:space="0" w:color="808080"/>
            </w:tcBorders>
            <w:vAlign w:val="center"/>
          </w:tcPr>
          <w:p w14:paraId="3988DF00" w14:textId="77777777" w:rsidR="000C1D79" w:rsidRPr="000C1D79" w:rsidRDefault="000C1D79"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y-o-y</w:t>
            </w:r>
          </w:p>
        </w:tc>
        <w:tc>
          <w:tcPr>
            <w:tcW w:w="1100" w:type="dxa"/>
            <w:tcBorders>
              <w:top w:val="single" w:sz="2" w:space="0" w:color="808080"/>
              <w:left w:val="single" w:sz="2" w:space="0" w:color="808080"/>
              <w:bottom w:val="single" w:sz="2" w:space="0" w:color="808080"/>
              <w:right w:val="nil"/>
            </w:tcBorders>
            <w:vAlign w:val="center"/>
          </w:tcPr>
          <w:p w14:paraId="52DFD1F9" w14:textId="77777777"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color w:val="000000"/>
              </w:rPr>
              <w:t>12M'24</w:t>
            </w:r>
          </w:p>
        </w:tc>
        <w:tc>
          <w:tcPr>
            <w:tcW w:w="1100" w:type="dxa"/>
            <w:tcBorders>
              <w:top w:val="single" w:sz="2" w:space="0" w:color="808080"/>
              <w:left w:val="nil"/>
              <w:bottom w:val="single" w:sz="2" w:space="0" w:color="808080"/>
              <w:right w:val="nil"/>
            </w:tcBorders>
            <w:vAlign w:val="center"/>
          </w:tcPr>
          <w:p w14:paraId="6F872887" w14:textId="77777777"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color w:val="000000"/>
              </w:rPr>
              <w:t>12M'23</w:t>
            </w:r>
          </w:p>
        </w:tc>
        <w:tc>
          <w:tcPr>
            <w:tcW w:w="1100" w:type="dxa"/>
            <w:tcBorders>
              <w:top w:val="single" w:sz="2" w:space="0" w:color="808080"/>
              <w:left w:val="nil"/>
              <w:bottom w:val="single" w:sz="2" w:space="0" w:color="808080"/>
              <w:right w:val="nil"/>
            </w:tcBorders>
            <w:vAlign w:val="center"/>
          </w:tcPr>
          <w:p w14:paraId="2F2AB28A" w14:textId="77777777"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color w:val="000000"/>
              </w:rPr>
              <w:t>y-o-y</w:t>
            </w:r>
          </w:p>
        </w:tc>
      </w:tr>
      <w:tr w:rsidR="000C1D79" w:rsidRPr="000C1D79" w14:paraId="3910DEC5" w14:textId="77777777" w:rsidTr="000C1D79">
        <w:trPr>
          <w:trHeight w:val="266"/>
        </w:trPr>
        <w:tc>
          <w:tcPr>
            <w:tcW w:w="4043" w:type="dxa"/>
            <w:tcBorders>
              <w:top w:val="single" w:sz="2" w:space="0" w:color="808080"/>
              <w:bottom w:val="nil"/>
              <w:right w:val="single" w:sz="2" w:space="0" w:color="808080"/>
            </w:tcBorders>
            <w:vAlign w:val="center"/>
          </w:tcPr>
          <w:p w14:paraId="2252E1E0" w14:textId="46EB1F1A" w:rsidR="000C1D79" w:rsidRPr="000C1D79" w:rsidRDefault="000C1D79" w:rsidP="000C1D79">
            <w:pPr>
              <w:tabs>
                <w:tab w:val="left" w:pos="0"/>
                <w:tab w:val="left" w:pos="284"/>
              </w:tabs>
              <w:ind w:right="-90"/>
              <w:contextualSpacing/>
              <w:rPr>
                <w:rFonts w:ascii="Arial" w:hAnsi="Arial" w:cs="Arial"/>
                <w:color w:val="000000"/>
              </w:rPr>
            </w:pPr>
            <w:r w:rsidRPr="0047537B">
              <w:rPr>
                <w:rFonts w:ascii="Arial" w:hAnsi="Arial" w:cs="Arial"/>
              </w:rPr>
              <w:t>Ελλάδα</w:t>
            </w:r>
          </w:p>
        </w:tc>
        <w:tc>
          <w:tcPr>
            <w:tcW w:w="1101" w:type="dxa"/>
            <w:tcBorders>
              <w:top w:val="single" w:sz="2" w:space="0" w:color="808080"/>
              <w:left w:val="single" w:sz="2" w:space="0" w:color="808080"/>
              <w:bottom w:val="nil"/>
              <w:right w:val="nil"/>
            </w:tcBorders>
            <w:shd w:val="clear" w:color="auto" w:fill="auto"/>
            <w:vAlign w:val="bottom"/>
          </w:tcPr>
          <w:p w14:paraId="2BFF669E" w14:textId="7CB67323"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343</w:t>
            </w:r>
            <w:r w:rsidR="0094074C">
              <w:rPr>
                <w:rFonts w:ascii="Arial" w:hAnsi="Arial" w:cs="Arial"/>
                <w:color w:val="000000"/>
              </w:rPr>
              <w:t>,</w:t>
            </w:r>
            <w:r w:rsidRPr="000C1D79">
              <w:rPr>
                <w:rFonts w:ascii="Arial" w:hAnsi="Arial" w:cs="Arial"/>
                <w:color w:val="000000"/>
              </w:rPr>
              <w:t>1</w:t>
            </w:r>
          </w:p>
        </w:tc>
        <w:tc>
          <w:tcPr>
            <w:tcW w:w="1101" w:type="dxa"/>
            <w:tcBorders>
              <w:top w:val="single" w:sz="2" w:space="0" w:color="808080"/>
              <w:left w:val="nil"/>
              <w:bottom w:val="nil"/>
              <w:right w:val="nil"/>
            </w:tcBorders>
            <w:shd w:val="clear" w:color="auto" w:fill="auto"/>
            <w:vAlign w:val="bottom"/>
          </w:tcPr>
          <w:p w14:paraId="001072D9" w14:textId="0FCD29E6"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337</w:t>
            </w:r>
            <w:r w:rsidR="0094074C">
              <w:rPr>
                <w:rFonts w:ascii="Arial" w:hAnsi="Arial" w:cs="Arial"/>
                <w:color w:val="000000"/>
              </w:rPr>
              <w:t>,</w:t>
            </w:r>
            <w:r w:rsidRPr="000C1D79">
              <w:rPr>
                <w:rFonts w:ascii="Arial" w:hAnsi="Arial" w:cs="Arial"/>
                <w:color w:val="000000"/>
              </w:rPr>
              <w:t>0</w:t>
            </w:r>
          </w:p>
        </w:tc>
        <w:tc>
          <w:tcPr>
            <w:tcW w:w="1100" w:type="dxa"/>
            <w:tcBorders>
              <w:top w:val="single" w:sz="2" w:space="0" w:color="808080"/>
              <w:left w:val="nil"/>
              <w:bottom w:val="nil"/>
              <w:right w:val="single" w:sz="2" w:space="0" w:color="808080"/>
            </w:tcBorders>
            <w:shd w:val="clear" w:color="auto" w:fill="auto"/>
            <w:vAlign w:val="bottom"/>
          </w:tcPr>
          <w:p w14:paraId="1212B232" w14:textId="73850236"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8%</w:t>
            </w:r>
          </w:p>
        </w:tc>
        <w:tc>
          <w:tcPr>
            <w:tcW w:w="1100" w:type="dxa"/>
            <w:tcBorders>
              <w:top w:val="single" w:sz="2" w:space="0" w:color="808080"/>
              <w:left w:val="single" w:sz="2" w:space="0" w:color="808080"/>
              <w:bottom w:val="nil"/>
              <w:right w:val="nil"/>
            </w:tcBorders>
            <w:vAlign w:val="bottom"/>
          </w:tcPr>
          <w:p w14:paraId="724AE6F4" w14:textId="75A1489F"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346</w:t>
            </w:r>
            <w:r w:rsidR="0094074C">
              <w:rPr>
                <w:rFonts w:ascii="Arial" w:hAnsi="Arial" w:cs="Arial"/>
                <w:color w:val="000000"/>
              </w:rPr>
              <w:t>,</w:t>
            </w:r>
            <w:r w:rsidRPr="000C1D79">
              <w:rPr>
                <w:rFonts w:ascii="Arial" w:hAnsi="Arial" w:cs="Arial"/>
                <w:color w:val="000000"/>
              </w:rPr>
              <w:t>2</w:t>
            </w:r>
          </w:p>
        </w:tc>
        <w:tc>
          <w:tcPr>
            <w:tcW w:w="1100" w:type="dxa"/>
            <w:tcBorders>
              <w:top w:val="single" w:sz="2" w:space="0" w:color="808080"/>
              <w:left w:val="nil"/>
              <w:bottom w:val="nil"/>
              <w:right w:val="nil"/>
            </w:tcBorders>
            <w:vAlign w:val="bottom"/>
          </w:tcPr>
          <w:p w14:paraId="3E8B0E61" w14:textId="1369332B"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325</w:t>
            </w:r>
            <w:r w:rsidR="0094074C">
              <w:rPr>
                <w:rFonts w:ascii="Arial" w:hAnsi="Arial" w:cs="Arial"/>
                <w:color w:val="000000"/>
              </w:rPr>
              <w:t>,</w:t>
            </w:r>
            <w:r w:rsidRPr="000C1D79">
              <w:rPr>
                <w:rFonts w:ascii="Arial" w:hAnsi="Arial" w:cs="Arial"/>
                <w:color w:val="000000"/>
              </w:rPr>
              <w:t>5</w:t>
            </w:r>
          </w:p>
        </w:tc>
        <w:tc>
          <w:tcPr>
            <w:tcW w:w="1100" w:type="dxa"/>
            <w:tcBorders>
              <w:top w:val="single" w:sz="2" w:space="0" w:color="808080"/>
              <w:left w:val="nil"/>
              <w:bottom w:val="nil"/>
              <w:right w:val="nil"/>
            </w:tcBorders>
            <w:vAlign w:val="bottom"/>
          </w:tcPr>
          <w:p w14:paraId="77B36AB0" w14:textId="40948C4B"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6%</w:t>
            </w:r>
          </w:p>
        </w:tc>
      </w:tr>
      <w:tr w:rsidR="000C1D79" w:rsidRPr="000C1D79" w14:paraId="58C65202" w14:textId="77777777" w:rsidTr="000C1D79">
        <w:trPr>
          <w:trHeight w:val="277"/>
        </w:trPr>
        <w:tc>
          <w:tcPr>
            <w:tcW w:w="4043" w:type="dxa"/>
            <w:tcBorders>
              <w:top w:val="nil"/>
              <w:bottom w:val="nil"/>
              <w:right w:val="single" w:sz="2" w:space="0" w:color="808080"/>
            </w:tcBorders>
            <w:vAlign w:val="center"/>
          </w:tcPr>
          <w:p w14:paraId="016B6C6C" w14:textId="0926CC46" w:rsidR="000C1D79" w:rsidRPr="000C1D79" w:rsidRDefault="000C1D79" w:rsidP="000C1D79">
            <w:pPr>
              <w:tabs>
                <w:tab w:val="left" w:pos="0"/>
                <w:tab w:val="left" w:pos="284"/>
              </w:tabs>
              <w:ind w:right="-90"/>
              <w:contextualSpacing/>
              <w:jc w:val="right"/>
              <w:rPr>
                <w:rFonts w:ascii="Arial" w:hAnsi="Arial" w:cs="Arial"/>
                <w:i/>
                <w:color w:val="000000"/>
                <w:sz w:val="18"/>
                <w:szCs w:val="18"/>
              </w:rPr>
            </w:pPr>
            <w:r w:rsidRPr="0047537B">
              <w:rPr>
                <w:rFonts w:ascii="Arial" w:hAnsi="Arial" w:cs="Arial"/>
                <w:i/>
              </w:rPr>
              <w:t>Περιθώριο (%)</w:t>
            </w:r>
          </w:p>
        </w:tc>
        <w:tc>
          <w:tcPr>
            <w:tcW w:w="1101" w:type="dxa"/>
            <w:tcBorders>
              <w:top w:val="nil"/>
              <w:left w:val="single" w:sz="2" w:space="0" w:color="808080"/>
              <w:bottom w:val="nil"/>
              <w:right w:val="nil"/>
            </w:tcBorders>
            <w:shd w:val="clear" w:color="auto" w:fill="auto"/>
            <w:vAlign w:val="bottom"/>
          </w:tcPr>
          <w:p w14:paraId="258BD1CE" w14:textId="5A5DC2FB"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40</w:t>
            </w:r>
            <w:r w:rsidR="0094074C">
              <w:rPr>
                <w:rFonts w:ascii="Arial" w:hAnsi="Arial" w:cs="Arial"/>
                <w:i/>
                <w:iCs/>
                <w:color w:val="000000"/>
              </w:rPr>
              <w:t>,</w:t>
            </w:r>
            <w:r w:rsidRPr="000C1D79">
              <w:rPr>
                <w:rFonts w:ascii="Arial" w:hAnsi="Arial" w:cs="Arial"/>
                <w:i/>
                <w:iCs/>
                <w:color w:val="000000"/>
              </w:rPr>
              <w:t>7%</w:t>
            </w:r>
          </w:p>
        </w:tc>
        <w:tc>
          <w:tcPr>
            <w:tcW w:w="1101" w:type="dxa"/>
            <w:tcBorders>
              <w:top w:val="nil"/>
              <w:left w:val="nil"/>
              <w:bottom w:val="nil"/>
              <w:right w:val="nil"/>
            </w:tcBorders>
            <w:shd w:val="clear" w:color="auto" w:fill="auto"/>
            <w:vAlign w:val="bottom"/>
          </w:tcPr>
          <w:p w14:paraId="7FFC80F5" w14:textId="674B3DAA"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39</w:t>
            </w:r>
            <w:r w:rsidR="0094074C">
              <w:rPr>
                <w:rFonts w:ascii="Arial" w:hAnsi="Arial" w:cs="Arial"/>
                <w:i/>
                <w:iCs/>
                <w:color w:val="000000"/>
              </w:rPr>
              <w:t>,</w:t>
            </w:r>
            <w:r w:rsidRPr="000C1D79">
              <w:rPr>
                <w:rFonts w:ascii="Arial" w:hAnsi="Arial" w:cs="Arial"/>
                <w:i/>
                <w:iCs/>
                <w:color w:val="000000"/>
              </w:rPr>
              <w:t>4%</w:t>
            </w:r>
          </w:p>
        </w:tc>
        <w:tc>
          <w:tcPr>
            <w:tcW w:w="1100" w:type="dxa"/>
            <w:tcBorders>
              <w:top w:val="nil"/>
              <w:left w:val="nil"/>
              <w:bottom w:val="nil"/>
              <w:right w:val="single" w:sz="2" w:space="0" w:color="808080"/>
            </w:tcBorders>
            <w:shd w:val="clear" w:color="auto" w:fill="auto"/>
            <w:vAlign w:val="bottom"/>
          </w:tcPr>
          <w:p w14:paraId="14EC2EE4" w14:textId="5F286CE6" w:rsidR="000C1D79" w:rsidRPr="00ED3582" w:rsidRDefault="000C1D79" w:rsidP="000C1D79">
            <w:pPr>
              <w:tabs>
                <w:tab w:val="left" w:pos="0"/>
                <w:tab w:val="left" w:pos="284"/>
              </w:tabs>
              <w:ind w:right="-90"/>
              <w:contextualSpacing/>
              <w:jc w:val="center"/>
              <w:rPr>
                <w:rFonts w:ascii="Arial" w:hAnsi="Arial" w:cs="Arial"/>
                <w:color w:val="000000"/>
                <w:sz w:val="18"/>
                <w:szCs w:val="18"/>
                <w:lang w:val="el-GR"/>
              </w:rPr>
            </w:pPr>
            <w:r w:rsidRPr="000C1D79">
              <w:rPr>
                <w:rFonts w:ascii="Arial" w:hAnsi="Arial" w:cs="Arial"/>
                <w:i/>
                <w:iCs/>
                <w:color w:val="000000"/>
              </w:rPr>
              <w:t>+1</w:t>
            </w:r>
            <w:r w:rsidR="0094074C">
              <w:rPr>
                <w:rFonts w:ascii="Arial" w:hAnsi="Arial" w:cs="Arial"/>
                <w:i/>
                <w:iCs/>
                <w:color w:val="000000"/>
              </w:rPr>
              <w:t>,</w:t>
            </w:r>
            <w:r w:rsidRPr="000C1D79">
              <w:rPr>
                <w:rFonts w:ascii="Arial" w:hAnsi="Arial" w:cs="Arial"/>
                <w:i/>
                <w:iCs/>
                <w:color w:val="000000"/>
              </w:rPr>
              <w:t>3</w:t>
            </w:r>
            <w:r w:rsidR="00ED3582">
              <w:rPr>
                <w:rFonts w:ascii="Arial" w:hAnsi="Arial" w:cs="Arial"/>
                <w:i/>
                <w:iCs/>
                <w:color w:val="000000"/>
                <w:lang w:val="el-GR"/>
              </w:rPr>
              <w:t xml:space="preserve"> μον</w:t>
            </w:r>
          </w:p>
        </w:tc>
        <w:tc>
          <w:tcPr>
            <w:tcW w:w="1100" w:type="dxa"/>
            <w:tcBorders>
              <w:top w:val="nil"/>
              <w:left w:val="single" w:sz="2" w:space="0" w:color="808080"/>
              <w:bottom w:val="nil"/>
              <w:right w:val="nil"/>
            </w:tcBorders>
            <w:vAlign w:val="bottom"/>
          </w:tcPr>
          <w:p w14:paraId="43CFAC48" w14:textId="0261B037"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40</w:t>
            </w:r>
            <w:r w:rsidR="0094074C">
              <w:rPr>
                <w:rFonts w:ascii="Arial" w:hAnsi="Arial" w:cs="Arial"/>
                <w:i/>
                <w:iCs/>
                <w:color w:val="000000"/>
              </w:rPr>
              <w:t>,</w:t>
            </w:r>
            <w:r w:rsidRPr="000C1D79">
              <w:rPr>
                <w:rFonts w:ascii="Arial" w:hAnsi="Arial" w:cs="Arial"/>
                <w:i/>
                <w:iCs/>
                <w:color w:val="000000"/>
              </w:rPr>
              <w:t>4%</w:t>
            </w:r>
          </w:p>
        </w:tc>
        <w:tc>
          <w:tcPr>
            <w:tcW w:w="1100" w:type="dxa"/>
            <w:tcBorders>
              <w:top w:val="nil"/>
              <w:left w:val="nil"/>
              <w:bottom w:val="nil"/>
              <w:right w:val="nil"/>
            </w:tcBorders>
            <w:vAlign w:val="bottom"/>
          </w:tcPr>
          <w:p w14:paraId="11111CA0" w14:textId="5B037899"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41</w:t>
            </w:r>
            <w:r w:rsidR="0094074C">
              <w:rPr>
                <w:rFonts w:ascii="Arial" w:hAnsi="Arial" w:cs="Arial"/>
                <w:i/>
                <w:iCs/>
                <w:color w:val="000000"/>
              </w:rPr>
              <w:t>,</w:t>
            </w:r>
            <w:r w:rsidRPr="000C1D79">
              <w:rPr>
                <w:rFonts w:ascii="Arial" w:hAnsi="Arial" w:cs="Arial"/>
                <w:i/>
                <w:iCs/>
                <w:color w:val="000000"/>
              </w:rPr>
              <w:t>6%</w:t>
            </w:r>
          </w:p>
        </w:tc>
        <w:tc>
          <w:tcPr>
            <w:tcW w:w="1100" w:type="dxa"/>
            <w:tcBorders>
              <w:top w:val="nil"/>
              <w:left w:val="nil"/>
              <w:bottom w:val="nil"/>
              <w:right w:val="nil"/>
            </w:tcBorders>
            <w:vAlign w:val="bottom"/>
          </w:tcPr>
          <w:p w14:paraId="5883F121" w14:textId="734031FF" w:rsidR="000C1D79" w:rsidRPr="00ED3582" w:rsidRDefault="000C1D79" w:rsidP="000C1D79">
            <w:pPr>
              <w:tabs>
                <w:tab w:val="left" w:pos="0"/>
                <w:tab w:val="left" w:pos="284"/>
              </w:tabs>
              <w:ind w:right="-90"/>
              <w:contextualSpacing/>
              <w:jc w:val="center"/>
              <w:rPr>
                <w:rFonts w:ascii="Arial" w:hAnsi="Arial" w:cs="Arial"/>
                <w:i/>
                <w:color w:val="000000"/>
                <w:sz w:val="18"/>
                <w:szCs w:val="18"/>
                <w:lang w:val="el-GR"/>
              </w:rPr>
            </w:pPr>
            <w:r w:rsidRPr="000C1D79">
              <w:rPr>
                <w:rFonts w:ascii="Arial" w:hAnsi="Arial" w:cs="Arial"/>
                <w:i/>
                <w:iCs/>
                <w:color w:val="000000"/>
              </w:rPr>
              <w:t>-1</w:t>
            </w:r>
            <w:r w:rsidR="0094074C">
              <w:rPr>
                <w:rFonts w:ascii="Arial" w:hAnsi="Arial" w:cs="Arial"/>
                <w:i/>
                <w:iCs/>
                <w:color w:val="000000"/>
              </w:rPr>
              <w:t>,</w:t>
            </w:r>
            <w:r w:rsidRPr="000C1D79">
              <w:rPr>
                <w:rFonts w:ascii="Arial" w:hAnsi="Arial" w:cs="Arial"/>
                <w:i/>
                <w:iCs/>
                <w:color w:val="000000"/>
              </w:rPr>
              <w:t>2</w:t>
            </w:r>
            <w:r w:rsidR="00ED3582">
              <w:rPr>
                <w:rFonts w:ascii="Arial" w:hAnsi="Arial" w:cs="Arial"/>
                <w:i/>
                <w:iCs/>
                <w:color w:val="000000"/>
                <w:lang w:val="el-GR"/>
              </w:rPr>
              <w:t xml:space="preserve"> μον</w:t>
            </w:r>
          </w:p>
        </w:tc>
      </w:tr>
      <w:tr w:rsidR="000C1D79" w:rsidRPr="000C1D79" w14:paraId="40DACE95" w14:textId="77777777" w:rsidTr="000C1D79">
        <w:trPr>
          <w:trHeight w:val="277"/>
        </w:trPr>
        <w:tc>
          <w:tcPr>
            <w:tcW w:w="4043" w:type="dxa"/>
            <w:tcBorders>
              <w:top w:val="nil"/>
              <w:bottom w:val="nil"/>
              <w:right w:val="single" w:sz="2" w:space="0" w:color="808080"/>
            </w:tcBorders>
            <w:vAlign w:val="center"/>
          </w:tcPr>
          <w:p w14:paraId="4872EB68" w14:textId="0FA17F33" w:rsidR="000C1D79" w:rsidRPr="000C1D79" w:rsidRDefault="000C1D79" w:rsidP="000C1D79">
            <w:pPr>
              <w:tabs>
                <w:tab w:val="left" w:pos="0"/>
                <w:tab w:val="left" w:pos="284"/>
              </w:tabs>
              <w:ind w:right="-90"/>
              <w:contextualSpacing/>
              <w:rPr>
                <w:rFonts w:ascii="Arial" w:hAnsi="Arial" w:cs="Arial"/>
                <w:color w:val="000000"/>
              </w:rPr>
            </w:pPr>
            <w:r w:rsidRPr="0047537B">
              <w:rPr>
                <w:rFonts w:ascii="Arial" w:hAnsi="Arial" w:cs="Arial"/>
              </w:rPr>
              <w:t>Ρουμανία κινητή</w:t>
            </w:r>
          </w:p>
        </w:tc>
        <w:tc>
          <w:tcPr>
            <w:tcW w:w="1101" w:type="dxa"/>
            <w:tcBorders>
              <w:top w:val="nil"/>
              <w:left w:val="single" w:sz="2" w:space="0" w:color="808080"/>
              <w:bottom w:val="nil"/>
              <w:right w:val="nil"/>
            </w:tcBorders>
            <w:shd w:val="clear" w:color="auto" w:fill="auto"/>
            <w:vAlign w:val="bottom"/>
          </w:tcPr>
          <w:p w14:paraId="30492B47" w14:textId="0640E89A"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4</w:t>
            </w:r>
          </w:p>
        </w:tc>
        <w:tc>
          <w:tcPr>
            <w:tcW w:w="1101" w:type="dxa"/>
            <w:tcBorders>
              <w:top w:val="nil"/>
              <w:left w:val="nil"/>
              <w:bottom w:val="nil"/>
              <w:right w:val="nil"/>
            </w:tcBorders>
            <w:shd w:val="clear" w:color="auto" w:fill="auto"/>
            <w:vAlign w:val="bottom"/>
          </w:tcPr>
          <w:p w14:paraId="020E154B" w14:textId="35909521"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4</w:t>
            </w:r>
            <w:r w:rsidR="0094074C">
              <w:rPr>
                <w:rFonts w:ascii="Arial" w:hAnsi="Arial" w:cs="Arial"/>
                <w:color w:val="000000"/>
              </w:rPr>
              <w:t>,</w:t>
            </w:r>
            <w:r w:rsidRPr="000C1D79">
              <w:rPr>
                <w:rFonts w:ascii="Arial" w:hAnsi="Arial" w:cs="Arial"/>
                <w:color w:val="000000"/>
              </w:rPr>
              <w:t>1</w:t>
            </w:r>
          </w:p>
        </w:tc>
        <w:tc>
          <w:tcPr>
            <w:tcW w:w="1100" w:type="dxa"/>
            <w:tcBorders>
              <w:top w:val="nil"/>
              <w:left w:val="nil"/>
              <w:bottom w:val="nil"/>
              <w:right w:val="single" w:sz="2" w:space="0" w:color="808080"/>
            </w:tcBorders>
            <w:shd w:val="clear" w:color="auto" w:fill="auto"/>
            <w:vAlign w:val="bottom"/>
          </w:tcPr>
          <w:p w14:paraId="71539132" w14:textId="08F88FF9" w:rsidR="000C1D79" w:rsidRPr="000C1D79" w:rsidRDefault="000C1D79" w:rsidP="000C1D79">
            <w:pPr>
              <w:tabs>
                <w:tab w:val="left" w:pos="0"/>
                <w:tab w:val="left" w:pos="284"/>
              </w:tabs>
              <w:ind w:right="-90"/>
              <w:contextualSpacing/>
              <w:jc w:val="center"/>
              <w:rPr>
                <w:rFonts w:ascii="Arial" w:hAnsi="Arial" w:cs="Arial"/>
                <w:color w:val="000000"/>
                <w:lang w:val="el-GR"/>
              </w:rPr>
            </w:pPr>
            <w:r w:rsidRPr="000C1D79">
              <w:rPr>
                <w:rFonts w:ascii="Arial" w:hAnsi="Arial" w:cs="Arial"/>
                <w:color w:val="000000"/>
              </w:rPr>
              <w:t>-65</w:t>
            </w:r>
            <w:r w:rsidR="0094074C">
              <w:rPr>
                <w:rFonts w:ascii="Arial" w:hAnsi="Arial" w:cs="Arial"/>
                <w:color w:val="000000"/>
              </w:rPr>
              <w:t>,</w:t>
            </w:r>
            <w:r w:rsidRPr="000C1D79">
              <w:rPr>
                <w:rFonts w:ascii="Arial" w:hAnsi="Arial" w:cs="Arial"/>
                <w:color w:val="000000"/>
              </w:rPr>
              <w:t>9%</w:t>
            </w:r>
          </w:p>
        </w:tc>
        <w:tc>
          <w:tcPr>
            <w:tcW w:w="1100" w:type="dxa"/>
            <w:tcBorders>
              <w:top w:val="nil"/>
              <w:left w:val="single" w:sz="2" w:space="0" w:color="808080"/>
              <w:bottom w:val="nil"/>
              <w:right w:val="nil"/>
            </w:tcBorders>
            <w:vAlign w:val="bottom"/>
          </w:tcPr>
          <w:p w14:paraId="2DF618CA" w14:textId="29B0BC28"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1</w:t>
            </w:r>
          </w:p>
        </w:tc>
        <w:tc>
          <w:tcPr>
            <w:tcW w:w="1100" w:type="dxa"/>
            <w:tcBorders>
              <w:top w:val="nil"/>
              <w:left w:val="nil"/>
              <w:bottom w:val="nil"/>
              <w:right w:val="nil"/>
            </w:tcBorders>
            <w:vAlign w:val="bottom"/>
          </w:tcPr>
          <w:p w14:paraId="5521BDE5" w14:textId="3670CF3F"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17</w:t>
            </w:r>
            <w:r w:rsidR="0094074C">
              <w:rPr>
                <w:rFonts w:ascii="Arial" w:hAnsi="Arial" w:cs="Arial"/>
                <w:color w:val="000000"/>
              </w:rPr>
              <w:t>,</w:t>
            </w:r>
            <w:r w:rsidRPr="000C1D79">
              <w:rPr>
                <w:rFonts w:ascii="Arial" w:hAnsi="Arial" w:cs="Arial"/>
                <w:color w:val="000000"/>
              </w:rPr>
              <w:t>0</w:t>
            </w:r>
          </w:p>
        </w:tc>
        <w:tc>
          <w:tcPr>
            <w:tcW w:w="1100" w:type="dxa"/>
            <w:tcBorders>
              <w:top w:val="nil"/>
              <w:left w:val="nil"/>
              <w:bottom w:val="nil"/>
              <w:right w:val="nil"/>
            </w:tcBorders>
            <w:vAlign w:val="bottom"/>
          </w:tcPr>
          <w:p w14:paraId="0A7EE318" w14:textId="38B764D9"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-93</w:t>
            </w:r>
            <w:r w:rsidR="0094074C">
              <w:rPr>
                <w:rFonts w:ascii="Arial" w:hAnsi="Arial" w:cs="Arial"/>
                <w:color w:val="000000"/>
              </w:rPr>
              <w:t>,</w:t>
            </w:r>
            <w:r w:rsidRPr="000C1D79">
              <w:rPr>
                <w:rFonts w:ascii="Arial" w:hAnsi="Arial" w:cs="Arial"/>
                <w:color w:val="000000"/>
              </w:rPr>
              <w:t>5%</w:t>
            </w:r>
          </w:p>
        </w:tc>
      </w:tr>
      <w:tr w:rsidR="000C1D79" w:rsidRPr="000C1D79" w14:paraId="2DDC2824" w14:textId="77777777" w:rsidTr="000C1D79">
        <w:trPr>
          <w:trHeight w:val="277"/>
        </w:trPr>
        <w:tc>
          <w:tcPr>
            <w:tcW w:w="4043" w:type="dxa"/>
            <w:tcBorders>
              <w:top w:val="nil"/>
              <w:bottom w:val="single" w:sz="4" w:space="0" w:color="A6A6A6"/>
              <w:right w:val="single" w:sz="2" w:space="0" w:color="808080"/>
            </w:tcBorders>
            <w:vAlign w:val="center"/>
          </w:tcPr>
          <w:p w14:paraId="004BB89E" w14:textId="6DF05961" w:rsidR="000C1D79" w:rsidRPr="000C1D79" w:rsidRDefault="000C1D79" w:rsidP="000C1D79">
            <w:pPr>
              <w:tabs>
                <w:tab w:val="left" w:pos="0"/>
                <w:tab w:val="left" w:pos="284"/>
              </w:tabs>
              <w:ind w:right="-90"/>
              <w:contextualSpacing/>
              <w:jc w:val="right"/>
              <w:rPr>
                <w:rFonts w:ascii="Arial" w:hAnsi="Arial" w:cs="Arial"/>
                <w:i/>
                <w:color w:val="000000"/>
                <w:sz w:val="18"/>
                <w:szCs w:val="18"/>
              </w:rPr>
            </w:pPr>
            <w:r w:rsidRPr="0047537B">
              <w:rPr>
                <w:rFonts w:ascii="Arial" w:hAnsi="Arial" w:cs="Arial"/>
                <w:i/>
              </w:rPr>
              <w:t>Περιθώριο (%)</w:t>
            </w:r>
          </w:p>
        </w:tc>
        <w:tc>
          <w:tcPr>
            <w:tcW w:w="1101" w:type="dxa"/>
            <w:tcBorders>
              <w:top w:val="nil"/>
              <w:left w:val="single" w:sz="2" w:space="0" w:color="808080"/>
              <w:bottom w:val="single" w:sz="4" w:space="0" w:color="A6A6A6"/>
              <w:right w:val="nil"/>
            </w:tcBorders>
            <w:shd w:val="clear" w:color="auto" w:fill="auto"/>
            <w:vAlign w:val="bottom"/>
          </w:tcPr>
          <w:p w14:paraId="59D09883" w14:textId="3E3C4F9B"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2</w:t>
            </w:r>
            <w:r w:rsidR="0094074C">
              <w:rPr>
                <w:rFonts w:ascii="Arial" w:hAnsi="Arial" w:cs="Arial"/>
                <w:i/>
                <w:iCs/>
                <w:color w:val="000000"/>
              </w:rPr>
              <w:t>,</w:t>
            </w:r>
            <w:r w:rsidRPr="000C1D79">
              <w:rPr>
                <w:rFonts w:ascii="Arial" w:hAnsi="Arial" w:cs="Arial"/>
                <w:i/>
                <w:iCs/>
                <w:color w:val="000000"/>
              </w:rPr>
              <w:t>2%</w:t>
            </w:r>
          </w:p>
        </w:tc>
        <w:tc>
          <w:tcPr>
            <w:tcW w:w="1101" w:type="dxa"/>
            <w:tcBorders>
              <w:top w:val="nil"/>
              <w:left w:val="nil"/>
              <w:bottom w:val="single" w:sz="4" w:space="0" w:color="A6A6A6"/>
              <w:right w:val="nil"/>
            </w:tcBorders>
            <w:shd w:val="clear" w:color="auto" w:fill="auto"/>
            <w:vAlign w:val="bottom"/>
          </w:tcPr>
          <w:p w14:paraId="3277BA66" w14:textId="27C4439D"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5</w:t>
            </w:r>
            <w:r w:rsidR="0094074C">
              <w:rPr>
                <w:rFonts w:ascii="Arial" w:hAnsi="Arial" w:cs="Arial"/>
                <w:i/>
                <w:iCs/>
                <w:color w:val="000000"/>
              </w:rPr>
              <w:t>,</w:t>
            </w:r>
            <w:r w:rsidRPr="000C1D79">
              <w:rPr>
                <w:rFonts w:ascii="Arial" w:hAnsi="Arial" w:cs="Arial"/>
                <w:i/>
                <w:iCs/>
                <w:color w:val="000000"/>
              </w:rPr>
              <w:t>3%</w:t>
            </w:r>
          </w:p>
        </w:tc>
        <w:tc>
          <w:tcPr>
            <w:tcW w:w="1100" w:type="dxa"/>
            <w:tcBorders>
              <w:top w:val="nil"/>
              <w:left w:val="nil"/>
              <w:bottom w:val="single" w:sz="4" w:space="0" w:color="A6A6A6"/>
              <w:right w:val="single" w:sz="2" w:space="0" w:color="808080"/>
            </w:tcBorders>
            <w:shd w:val="clear" w:color="auto" w:fill="auto"/>
            <w:vAlign w:val="bottom"/>
          </w:tcPr>
          <w:p w14:paraId="3636A89B" w14:textId="7901205F" w:rsidR="000C1D79" w:rsidRPr="00002620" w:rsidRDefault="000C1D79" w:rsidP="000C1D79">
            <w:pPr>
              <w:tabs>
                <w:tab w:val="left" w:pos="0"/>
                <w:tab w:val="left" w:pos="284"/>
              </w:tabs>
              <w:ind w:right="-90"/>
              <w:contextualSpacing/>
              <w:jc w:val="center"/>
              <w:rPr>
                <w:rFonts w:ascii="Arial" w:hAnsi="Arial" w:cs="Arial"/>
                <w:color w:val="000000"/>
                <w:sz w:val="18"/>
                <w:szCs w:val="18"/>
                <w:lang w:val="el-GR"/>
              </w:rPr>
            </w:pPr>
            <w:r w:rsidRPr="000C1D79">
              <w:rPr>
                <w:rFonts w:ascii="Arial" w:hAnsi="Arial" w:cs="Arial"/>
                <w:i/>
                <w:iCs/>
                <w:color w:val="000000"/>
              </w:rPr>
              <w:t>-3</w:t>
            </w:r>
            <w:r w:rsidR="0094074C">
              <w:rPr>
                <w:rFonts w:ascii="Arial" w:hAnsi="Arial" w:cs="Arial"/>
                <w:i/>
                <w:iCs/>
                <w:color w:val="000000"/>
              </w:rPr>
              <w:t>,</w:t>
            </w:r>
            <w:r w:rsidRPr="000C1D79">
              <w:rPr>
                <w:rFonts w:ascii="Arial" w:hAnsi="Arial" w:cs="Arial"/>
                <w:i/>
                <w:iCs/>
                <w:color w:val="000000"/>
              </w:rPr>
              <w:t>1</w:t>
            </w:r>
            <w:r w:rsidR="00002620">
              <w:rPr>
                <w:rFonts w:ascii="Arial" w:hAnsi="Arial" w:cs="Arial"/>
                <w:i/>
                <w:iCs/>
                <w:color w:val="000000"/>
                <w:lang w:val="el-GR"/>
              </w:rPr>
              <w:t xml:space="preserve"> μον</w:t>
            </w:r>
          </w:p>
        </w:tc>
        <w:tc>
          <w:tcPr>
            <w:tcW w:w="1100" w:type="dxa"/>
            <w:tcBorders>
              <w:top w:val="nil"/>
              <w:left w:val="single" w:sz="2" w:space="0" w:color="808080"/>
              <w:bottom w:val="single" w:sz="4" w:space="0" w:color="A6A6A6"/>
              <w:right w:val="nil"/>
            </w:tcBorders>
            <w:vAlign w:val="bottom"/>
          </w:tcPr>
          <w:p w14:paraId="69EF1C12" w14:textId="35042F67"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0</w:t>
            </w:r>
            <w:r w:rsidR="0094074C">
              <w:rPr>
                <w:rFonts w:ascii="Arial" w:hAnsi="Arial" w:cs="Arial"/>
                <w:i/>
                <w:iCs/>
                <w:color w:val="000000"/>
              </w:rPr>
              <w:t>,</w:t>
            </w:r>
            <w:r w:rsidRPr="000C1D79">
              <w:rPr>
                <w:rFonts w:ascii="Arial" w:hAnsi="Arial" w:cs="Arial"/>
                <w:i/>
                <w:iCs/>
                <w:color w:val="000000"/>
              </w:rPr>
              <w:t>4%</w:t>
            </w:r>
          </w:p>
        </w:tc>
        <w:tc>
          <w:tcPr>
            <w:tcW w:w="1100" w:type="dxa"/>
            <w:tcBorders>
              <w:top w:val="nil"/>
              <w:left w:val="nil"/>
              <w:bottom w:val="single" w:sz="4" w:space="0" w:color="A6A6A6"/>
              <w:right w:val="nil"/>
            </w:tcBorders>
            <w:vAlign w:val="bottom"/>
          </w:tcPr>
          <w:p w14:paraId="1514CF9C" w14:textId="6C1E64F4"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5</w:t>
            </w:r>
            <w:r w:rsidR="0094074C">
              <w:rPr>
                <w:rFonts w:ascii="Arial" w:hAnsi="Arial" w:cs="Arial"/>
                <w:i/>
                <w:iCs/>
                <w:color w:val="000000"/>
              </w:rPr>
              <w:t>,</w:t>
            </w:r>
            <w:r w:rsidRPr="000C1D79">
              <w:rPr>
                <w:rFonts w:ascii="Arial" w:hAnsi="Arial" w:cs="Arial"/>
                <w:i/>
                <w:iCs/>
                <w:color w:val="000000"/>
              </w:rPr>
              <w:t>9%</w:t>
            </w:r>
          </w:p>
        </w:tc>
        <w:tc>
          <w:tcPr>
            <w:tcW w:w="1100" w:type="dxa"/>
            <w:tcBorders>
              <w:top w:val="nil"/>
              <w:left w:val="nil"/>
              <w:bottom w:val="single" w:sz="4" w:space="0" w:color="A6A6A6"/>
              <w:right w:val="nil"/>
            </w:tcBorders>
            <w:vAlign w:val="bottom"/>
          </w:tcPr>
          <w:p w14:paraId="5A6D4AD1" w14:textId="4350F17B" w:rsidR="000C1D79" w:rsidRPr="00002620" w:rsidRDefault="000C1D79" w:rsidP="000C1D79">
            <w:pPr>
              <w:tabs>
                <w:tab w:val="left" w:pos="0"/>
                <w:tab w:val="left" w:pos="284"/>
              </w:tabs>
              <w:ind w:right="-90"/>
              <w:contextualSpacing/>
              <w:jc w:val="center"/>
              <w:rPr>
                <w:rFonts w:ascii="Arial" w:hAnsi="Arial" w:cs="Arial"/>
                <w:i/>
                <w:color w:val="000000"/>
                <w:sz w:val="18"/>
                <w:szCs w:val="18"/>
                <w:lang w:val="el-GR"/>
              </w:rPr>
            </w:pPr>
            <w:r w:rsidRPr="000C1D79">
              <w:rPr>
                <w:rFonts w:ascii="Arial" w:hAnsi="Arial" w:cs="Arial"/>
                <w:i/>
                <w:iCs/>
                <w:color w:val="000000"/>
              </w:rPr>
              <w:t>-5</w:t>
            </w:r>
            <w:r w:rsidR="0094074C">
              <w:rPr>
                <w:rFonts w:ascii="Arial" w:hAnsi="Arial" w:cs="Arial"/>
                <w:i/>
                <w:iCs/>
                <w:color w:val="000000"/>
              </w:rPr>
              <w:t>,</w:t>
            </w:r>
            <w:r w:rsidRPr="000C1D79">
              <w:rPr>
                <w:rFonts w:ascii="Arial" w:hAnsi="Arial" w:cs="Arial"/>
                <w:i/>
                <w:iCs/>
                <w:color w:val="000000"/>
              </w:rPr>
              <w:t>5</w:t>
            </w:r>
            <w:r w:rsidR="00002620">
              <w:rPr>
                <w:rFonts w:ascii="Arial" w:hAnsi="Arial" w:cs="Arial"/>
                <w:i/>
                <w:iCs/>
                <w:color w:val="000000"/>
                <w:lang w:val="el-GR"/>
              </w:rPr>
              <w:t xml:space="preserve"> μον</w:t>
            </w:r>
          </w:p>
        </w:tc>
      </w:tr>
      <w:tr w:rsidR="000C1D79" w:rsidRPr="000C1D79" w14:paraId="3E53086F" w14:textId="77777777" w:rsidTr="000C1D79">
        <w:trPr>
          <w:trHeight w:val="277"/>
        </w:trPr>
        <w:tc>
          <w:tcPr>
            <w:tcW w:w="4043" w:type="dxa"/>
            <w:tcBorders>
              <w:top w:val="single" w:sz="4" w:space="0" w:color="A6A6A6"/>
              <w:bottom w:val="single" w:sz="4" w:space="0" w:color="A6A6A6"/>
              <w:right w:val="single" w:sz="2" w:space="0" w:color="808080"/>
            </w:tcBorders>
            <w:shd w:val="clear" w:color="auto" w:fill="F2F2F2"/>
            <w:vAlign w:val="center"/>
          </w:tcPr>
          <w:p w14:paraId="2B06DC4F" w14:textId="25D6482F" w:rsidR="000C1D79" w:rsidRPr="000C1D79" w:rsidRDefault="000C1D79" w:rsidP="000C1D79">
            <w:pPr>
              <w:tabs>
                <w:tab w:val="left" w:pos="0"/>
                <w:tab w:val="left" w:pos="284"/>
              </w:tabs>
              <w:ind w:right="-90"/>
              <w:contextualSpacing/>
              <w:rPr>
                <w:rFonts w:ascii="Arial" w:hAnsi="Arial" w:cs="Arial"/>
                <w:b/>
                <w:color w:val="000000"/>
              </w:rPr>
            </w:pPr>
            <w:r w:rsidRPr="0047537B">
              <w:rPr>
                <w:rFonts w:ascii="Arial" w:hAnsi="Arial" w:cs="Arial"/>
                <w:b/>
                <w:iCs/>
              </w:rPr>
              <w:t>Όμιλος ΟΤΕ</w:t>
            </w:r>
          </w:p>
        </w:tc>
        <w:tc>
          <w:tcPr>
            <w:tcW w:w="1101" w:type="dxa"/>
            <w:tcBorders>
              <w:top w:val="single" w:sz="4" w:space="0" w:color="A6A6A6"/>
              <w:left w:val="single" w:sz="2" w:space="0" w:color="808080"/>
              <w:bottom w:val="single" w:sz="4" w:space="0" w:color="A6A6A6"/>
              <w:right w:val="nil"/>
            </w:tcBorders>
            <w:shd w:val="clear" w:color="auto" w:fill="F2F2F2"/>
            <w:vAlign w:val="bottom"/>
          </w:tcPr>
          <w:p w14:paraId="07D2A948" w14:textId="22AA56D4" w:rsidR="000C1D79" w:rsidRPr="000C1D79" w:rsidRDefault="000C1D79" w:rsidP="000C1D79">
            <w:pPr>
              <w:tabs>
                <w:tab w:val="left" w:pos="0"/>
                <w:tab w:val="left" w:pos="284"/>
              </w:tabs>
              <w:ind w:right="-90"/>
              <w:contextualSpacing/>
              <w:jc w:val="center"/>
              <w:rPr>
                <w:rFonts w:ascii="Arial" w:hAnsi="Arial" w:cs="Arial"/>
                <w:b/>
                <w:i/>
                <w:color w:val="000000"/>
              </w:rPr>
            </w:pPr>
            <w:r w:rsidRPr="000C1D79">
              <w:rPr>
                <w:rFonts w:ascii="Arial" w:hAnsi="Arial" w:cs="Arial"/>
                <w:b/>
                <w:bCs/>
                <w:color w:val="000000"/>
              </w:rPr>
              <w:t>344</w:t>
            </w:r>
            <w:r w:rsidR="00F547CC">
              <w:rPr>
                <w:rFonts w:ascii="Arial" w:hAnsi="Arial" w:cs="Arial"/>
                <w:b/>
                <w:bCs/>
                <w:color w:val="000000"/>
              </w:rPr>
              <w:t>,</w:t>
            </w:r>
            <w:r w:rsidRPr="000C1D79">
              <w:rPr>
                <w:rFonts w:ascii="Arial" w:hAnsi="Arial" w:cs="Arial"/>
                <w:b/>
                <w:bCs/>
                <w:color w:val="000000"/>
              </w:rPr>
              <w:t>5</w:t>
            </w:r>
          </w:p>
        </w:tc>
        <w:tc>
          <w:tcPr>
            <w:tcW w:w="1101" w:type="dxa"/>
            <w:tcBorders>
              <w:top w:val="single" w:sz="4" w:space="0" w:color="A6A6A6"/>
              <w:left w:val="nil"/>
              <w:bottom w:val="single" w:sz="4" w:space="0" w:color="A6A6A6"/>
              <w:right w:val="nil"/>
            </w:tcBorders>
            <w:shd w:val="clear" w:color="auto" w:fill="F2F2F2"/>
            <w:vAlign w:val="bottom"/>
          </w:tcPr>
          <w:p w14:paraId="37B4E7E1" w14:textId="3A6C2DC1" w:rsidR="000C1D79" w:rsidRPr="000C1D79" w:rsidRDefault="000C1D79" w:rsidP="000C1D79">
            <w:pPr>
              <w:tabs>
                <w:tab w:val="left" w:pos="0"/>
                <w:tab w:val="left" w:pos="284"/>
              </w:tabs>
              <w:ind w:right="-90"/>
              <w:contextualSpacing/>
              <w:jc w:val="center"/>
              <w:rPr>
                <w:rFonts w:ascii="Arial" w:hAnsi="Arial" w:cs="Arial"/>
                <w:b/>
                <w:i/>
                <w:color w:val="000000"/>
              </w:rPr>
            </w:pPr>
            <w:r w:rsidRPr="000C1D79">
              <w:rPr>
                <w:rFonts w:ascii="Arial" w:hAnsi="Arial" w:cs="Arial"/>
                <w:b/>
                <w:bCs/>
                <w:color w:val="000000"/>
              </w:rPr>
              <w:t>341</w:t>
            </w:r>
            <w:r w:rsidR="00F547CC">
              <w:rPr>
                <w:rFonts w:ascii="Arial" w:hAnsi="Arial" w:cs="Arial"/>
                <w:b/>
                <w:bCs/>
                <w:color w:val="000000"/>
              </w:rPr>
              <w:t>,</w:t>
            </w:r>
            <w:r w:rsidRPr="000C1D79">
              <w:rPr>
                <w:rFonts w:ascii="Arial" w:hAnsi="Arial" w:cs="Arial"/>
                <w:b/>
                <w:bCs/>
                <w:color w:val="000000"/>
              </w:rPr>
              <w:t>1</w:t>
            </w:r>
          </w:p>
        </w:tc>
        <w:tc>
          <w:tcPr>
            <w:tcW w:w="1100" w:type="dxa"/>
            <w:tcBorders>
              <w:top w:val="single" w:sz="4" w:space="0" w:color="A6A6A6"/>
              <w:left w:val="nil"/>
              <w:bottom w:val="single" w:sz="4" w:space="0" w:color="A6A6A6"/>
              <w:right w:val="single" w:sz="2" w:space="0" w:color="808080"/>
            </w:tcBorders>
            <w:shd w:val="clear" w:color="auto" w:fill="F2F2F2"/>
            <w:vAlign w:val="bottom"/>
          </w:tcPr>
          <w:p w14:paraId="32306979" w14:textId="77FE73C3" w:rsidR="000C1D79" w:rsidRPr="000C1D79" w:rsidRDefault="000C1D79" w:rsidP="000C1D79">
            <w:pPr>
              <w:tabs>
                <w:tab w:val="left" w:pos="0"/>
                <w:tab w:val="left" w:pos="284"/>
              </w:tabs>
              <w:ind w:right="-90"/>
              <w:contextualSpacing/>
              <w:jc w:val="center"/>
              <w:rPr>
                <w:rFonts w:ascii="Arial" w:hAnsi="Arial" w:cs="Arial"/>
                <w:b/>
                <w:i/>
                <w:color w:val="000000"/>
              </w:rPr>
            </w:pPr>
            <w:r w:rsidRPr="000C1D79">
              <w:rPr>
                <w:rFonts w:ascii="Arial" w:hAnsi="Arial" w:cs="Arial"/>
                <w:b/>
                <w:bCs/>
                <w:color w:val="000000"/>
              </w:rPr>
              <w:t>+1</w:t>
            </w:r>
            <w:r w:rsidR="00F547CC">
              <w:rPr>
                <w:rFonts w:ascii="Arial" w:hAnsi="Arial" w:cs="Arial"/>
                <w:b/>
                <w:bCs/>
                <w:color w:val="000000"/>
              </w:rPr>
              <w:t>,</w:t>
            </w:r>
            <w:r w:rsidRPr="000C1D79">
              <w:rPr>
                <w:rFonts w:ascii="Arial" w:hAnsi="Arial" w:cs="Arial"/>
                <w:b/>
                <w:bCs/>
                <w:color w:val="000000"/>
              </w:rPr>
              <w:t>0%</w:t>
            </w:r>
          </w:p>
        </w:tc>
        <w:tc>
          <w:tcPr>
            <w:tcW w:w="1100" w:type="dxa"/>
            <w:tcBorders>
              <w:top w:val="single" w:sz="4" w:space="0" w:color="A6A6A6"/>
              <w:left w:val="single" w:sz="2" w:space="0" w:color="808080"/>
              <w:bottom w:val="single" w:sz="4" w:space="0" w:color="A6A6A6"/>
              <w:right w:val="nil"/>
            </w:tcBorders>
            <w:shd w:val="clear" w:color="auto" w:fill="F2F2F2"/>
            <w:vAlign w:val="bottom"/>
          </w:tcPr>
          <w:p w14:paraId="064B0C6B" w14:textId="24C651AC"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bCs/>
                <w:color w:val="000000"/>
              </w:rPr>
              <w:t>1</w:t>
            </w:r>
            <w:r w:rsidR="00F547CC">
              <w:rPr>
                <w:rFonts w:ascii="Arial" w:hAnsi="Arial" w:cs="Arial"/>
                <w:b/>
                <w:bCs/>
                <w:color w:val="000000"/>
                <w:lang w:val="el-GR"/>
              </w:rPr>
              <w:t>.</w:t>
            </w:r>
            <w:r w:rsidRPr="000C1D79">
              <w:rPr>
                <w:rFonts w:ascii="Arial" w:hAnsi="Arial" w:cs="Arial"/>
                <w:b/>
                <w:bCs/>
                <w:color w:val="000000"/>
              </w:rPr>
              <w:t>347</w:t>
            </w:r>
            <w:r w:rsidR="00F547CC">
              <w:rPr>
                <w:rFonts w:ascii="Arial" w:hAnsi="Arial" w:cs="Arial"/>
                <w:b/>
                <w:bCs/>
                <w:color w:val="000000"/>
              </w:rPr>
              <w:t>,</w:t>
            </w:r>
            <w:r w:rsidRPr="000C1D79">
              <w:rPr>
                <w:rFonts w:ascii="Arial" w:hAnsi="Arial" w:cs="Arial"/>
                <w:b/>
                <w:bCs/>
                <w:color w:val="000000"/>
              </w:rPr>
              <w:t>3</w:t>
            </w:r>
          </w:p>
        </w:tc>
        <w:tc>
          <w:tcPr>
            <w:tcW w:w="1100" w:type="dxa"/>
            <w:tcBorders>
              <w:top w:val="single" w:sz="4" w:space="0" w:color="A6A6A6"/>
              <w:left w:val="nil"/>
              <w:bottom w:val="single" w:sz="4" w:space="0" w:color="A6A6A6"/>
              <w:right w:val="nil"/>
            </w:tcBorders>
            <w:shd w:val="clear" w:color="auto" w:fill="F2F2F2"/>
            <w:vAlign w:val="bottom"/>
          </w:tcPr>
          <w:p w14:paraId="082826F6" w14:textId="69C638F4"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bCs/>
                <w:color w:val="000000"/>
              </w:rPr>
              <w:t>1</w:t>
            </w:r>
            <w:r w:rsidR="00F547CC">
              <w:rPr>
                <w:rFonts w:ascii="Arial" w:hAnsi="Arial" w:cs="Arial"/>
                <w:b/>
                <w:bCs/>
                <w:color w:val="000000"/>
                <w:lang w:val="el-GR"/>
              </w:rPr>
              <w:t>.</w:t>
            </w:r>
            <w:r w:rsidRPr="000C1D79">
              <w:rPr>
                <w:rFonts w:ascii="Arial" w:hAnsi="Arial" w:cs="Arial"/>
                <w:b/>
                <w:bCs/>
                <w:color w:val="000000"/>
              </w:rPr>
              <w:t>342</w:t>
            </w:r>
            <w:r w:rsidR="00F547CC">
              <w:rPr>
                <w:rFonts w:ascii="Arial" w:hAnsi="Arial" w:cs="Arial"/>
                <w:b/>
                <w:bCs/>
                <w:color w:val="000000"/>
              </w:rPr>
              <w:t>,</w:t>
            </w:r>
            <w:r w:rsidRPr="000C1D79">
              <w:rPr>
                <w:rFonts w:ascii="Arial" w:hAnsi="Arial" w:cs="Arial"/>
                <w:b/>
                <w:bCs/>
                <w:color w:val="000000"/>
              </w:rPr>
              <w:t>5</w:t>
            </w:r>
          </w:p>
        </w:tc>
        <w:tc>
          <w:tcPr>
            <w:tcW w:w="1100" w:type="dxa"/>
            <w:tcBorders>
              <w:top w:val="single" w:sz="4" w:space="0" w:color="A6A6A6"/>
              <w:left w:val="nil"/>
              <w:bottom w:val="single" w:sz="4" w:space="0" w:color="A6A6A6"/>
              <w:right w:val="nil"/>
            </w:tcBorders>
            <w:shd w:val="clear" w:color="auto" w:fill="F2F2F2"/>
            <w:vAlign w:val="bottom"/>
          </w:tcPr>
          <w:p w14:paraId="076B66CA" w14:textId="34CE34D5"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bCs/>
                <w:color w:val="000000"/>
              </w:rPr>
              <w:t>+0</w:t>
            </w:r>
            <w:r w:rsidR="00F547CC">
              <w:rPr>
                <w:rFonts w:ascii="Arial" w:hAnsi="Arial" w:cs="Arial"/>
                <w:b/>
                <w:bCs/>
                <w:color w:val="000000"/>
              </w:rPr>
              <w:t>,</w:t>
            </w:r>
            <w:r w:rsidRPr="000C1D79">
              <w:rPr>
                <w:rFonts w:ascii="Arial" w:hAnsi="Arial" w:cs="Arial"/>
                <w:b/>
                <w:bCs/>
                <w:color w:val="000000"/>
              </w:rPr>
              <w:t>4%</w:t>
            </w:r>
          </w:p>
        </w:tc>
      </w:tr>
      <w:tr w:rsidR="000C1D79" w:rsidRPr="000C1D79" w14:paraId="342C4E48" w14:textId="77777777" w:rsidTr="000C1D79">
        <w:trPr>
          <w:trHeight w:val="277"/>
        </w:trPr>
        <w:tc>
          <w:tcPr>
            <w:tcW w:w="4043" w:type="dxa"/>
            <w:tcBorders>
              <w:top w:val="single" w:sz="4" w:space="0" w:color="A6A6A6"/>
              <w:bottom w:val="single" w:sz="2" w:space="0" w:color="808080"/>
              <w:right w:val="single" w:sz="2" w:space="0" w:color="808080"/>
            </w:tcBorders>
            <w:shd w:val="clear" w:color="auto" w:fill="F2F2F2"/>
            <w:vAlign w:val="center"/>
          </w:tcPr>
          <w:p w14:paraId="611F514C" w14:textId="4C4858F9" w:rsidR="000C1D79" w:rsidRPr="000C1D79" w:rsidRDefault="000C1D79" w:rsidP="000C1D79">
            <w:pPr>
              <w:tabs>
                <w:tab w:val="left" w:pos="0"/>
                <w:tab w:val="left" w:pos="284"/>
              </w:tabs>
              <w:ind w:right="-90"/>
              <w:contextualSpacing/>
              <w:jc w:val="right"/>
              <w:rPr>
                <w:rFonts w:ascii="Arial" w:hAnsi="Arial" w:cs="Arial"/>
                <w:b/>
                <w:i/>
                <w:color w:val="000000"/>
                <w:sz w:val="18"/>
                <w:szCs w:val="18"/>
              </w:rPr>
            </w:pPr>
            <w:r w:rsidRPr="0047537B">
              <w:rPr>
                <w:rFonts w:ascii="Arial" w:hAnsi="Arial" w:cs="Arial"/>
                <w:b/>
                <w:i/>
              </w:rPr>
              <w:t>Περιθώριο (%)</w:t>
            </w:r>
          </w:p>
        </w:tc>
        <w:tc>
          <w:tcPr>
            <w:tcW w:w="1101" w:type="dxa"/>
            <w:tcBorders>
              <w:top w:val="single" w:sz="4" w:space="0" w:color="A6A6A6"/>
              <w:left w:val="single" w:sz="2" w:space="0" w:color="808080"/>
              <w:bottom w:val="single" w:sz="2" w:space="0" w:color="808080"/>
              <w:right w:val="nil"/>
            </w:tcBorders>
            <w:shd w:val="clear" w:color="auto" w:fill="F2F2F2"/>
            <w:vAlign w:val="bottom"/>
          </w:tcPr>
          <w:p w14:paraId="07000B51" w14:textId="1B9CF524"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38</w:t>
            </w:r>
            <w:r w:rsidR="00F547CC">
              <w:rPr>
                <w:rFonts w:ascii="Arial" w:hAnsi="Arial" w:cs="Arial"/>
                <w:b/>
                <w:bCs/>
                <w:i/>
                <w:iCs/>
                <w:color w:val="000000"/>
              </w:rPr>
              <w:t>,</w:t>
            </w:r>
            <w:r w:rsidRPr="000C1D79">
              <w:rPr>
                <w:rFonts w:ascii="Arial" w:hAnsi="Arial" w:cs="Arial"/>
                <w:b/>
                <w:bCs/>
                <w:i/>
                <w:iCs/>
                <w:color w:val="000000"/>
              </w:rPr>
              <w:t>1%</w:t>
            </w:r>
          </w:p>
        </w:tc>
        <w:tc>
          <w:tcPr>
            <w:tcW w:w="1101" w:type="dxa"/>
            <w:tcBorders>
              <w:top w:val="single" w:sz="4" w:space="0" w:color="A6A6A6"/>
              <w:left w:val="nil"/>
              <w:bottom w:val="single" w:sz="2" w:space="0" w:color="808080"/>
              <w:right w:val="nil"/>
            </w:tcBorders>
            <w:shd w:val="clear" w:color="auto" w:fill="F2F2F2"/>
            <w:vAlign w:val="bottom"/>
          </w:tcPr>
          <w:p w14:paraId="27BED228" w14:textId="7E5600BB"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36</w:t>
            </w:r>
            <w:r w:rsidR="00F547CC">
              <w:rPr>
                <w:rFonts w:ascii="Arial" w:hAnsi="Arial" w:cs="Arial"/>
                <w:b/>
                <w:bCs/>
                <w:i/>
                <w:iCs/>
                <w:color w:val="000000"/>
              </w:rPr>
              <w:t>,</w:t>
            </w:r>
            <w:r w:rsidRPr="000C1D79">
              <w:rPr>
                <w:rFonts w:ascii="Arial" w:hAnsi="Arial" w:cs="Arial"/>
                <w:b/>
                <w:bCs/>
                <w:i/>
                <w:iCs/>
                <w:color w:val="000000"/>
              </w:rPr>
              <w:t>7%</w:t>
            </w:r>
          </w:p>
        </w:tc>
        <w:tc>
          <w:tcPr>
            <w:tcW w:w="1100" w:type="dxa"/>
            <w:tcBorders>
              <w:top w:val="single" w:sz="4" w:space="0" w:color="A6A6A6"/>
              <w:left w:val="nil"/>
              <w:bottom w:val="single" w:sz="2" w:space="0" w:color="808080"/>
              <w:right w:val="single" w:sz="2" w:space="0" w:color="808080"/>
            </w:tcBorders>
            <w:shd w:val="clear" w:color="auto" w:fill="F2F2F2"/>
            <w:vAlign w:val="bottom"/>
          </w:tcPr>
          <w:p w14:paraId="5E91170E" w14:textId="2DD92359" w:rsidR="000C1D79" w:rsidRPr="00F547CC" w:rsidRDefault="000C1D79" w:rsidP="000C1D79">
            <w:pPr>
              <w:tabs>
                <w:tab w:val="left" w:pos="0"/>
                <w:tab w:val="left" w:pos="284"/>
              </w:tabs>
              <w:ind w:right="-90"/>
              <w:contextualSpacing/>
              <w:jc w:val="center"/>
              <w:rPr>
                <w:rFonts w:ascii="Arial" w:hAnsi="Arial" w:cs="Arial"/>
                <w:b/>
                <w:i/>
                <w:color w:val="000000"/>
                <w:sz w:val="18"/>
                <w:szCs w:val="18"/>
                <w:lang w:val="el-GR"/>
              </w:rPr>
            </w:pPr>
            <w:r w:rsidRPr="000C1D79">
              <w:rPr>
                <w:rFonts w:ascii="Arial" w:hAnsi="Arial" w:cs="Arial"/>
                <w:b/>
                <w:bCs/>
                <w:i/>
                <w:iCs/>
                <w:color w:val="000000"/>
              </w:rPr>
              <w:t>+1</w:t>
            </w:r>
            <w:r w:rsidR="00F547CC">
              <w:rPr>
                <w:rFonts w:ascii="Arial" w:hAnsi="Arial" w:cs="Arial"/>
                <w:b/>
                <w:bCs/>
                <w:i/>
                <w:iCs/>
                <w:color w:val="000000"/>
              </w:rPr>
              <w:t>,</w:t>
            </w:r>
            <w:r w:rsidRPr="000C1D79">
              <w:rPr>
                <w:rFonts w:ascii="Arial" w:hAnsi="Arial" w:cs="Arial"/>
                <w:b/>
                <w:bCs/>
                <w:i/>
                <w:iCs/>
                <w:color w:val="000000"/>
              </w:rPr>
              <w:t>4</w:t>
            </w:r>
            <w:r w:rsidR="00F547CC">
              <w:rPr>
                <w:rFonts w:ascii="Arial" w:hAnsi="Arial" w:cs="Arial"/>
                <w:b/>
                <w:bCs/>
                <w:i/>
                <w:iCs/>
                <w:color w:val="000000"/>
                <w:lang w:val="el-GR"/>
              </w:rPr>
              <w:t xml:space="preserve"> μον</w:t>
            </w:r>
          </w:p>
        </w:tc>
        <w:tc>
          <w:tcPr>
            <w:tcW w:w="1100" w:type="dxa"/>
            <w:tcBorders>
              <w:top w:val="single" w:sz="4" w:space="0" w:color="A6A6A6"/>
              <w:left w:val="single" w:sz="2" w:space="0" w:color="808080"/>
              <w:bottom w:val="single" w:sz="2" w:space="0" w:color="808080"/>
              <w:right w:val="nil"/>
            </w:tcBorders>
            <w:shd w:val="clear" w:color="auto" w:fill="F2F2F2"/>
            <w:vAlign w:val="bottom"/>
          </w:tcPr>
          <w:p w14:paraId="7F2E5BB5" w14:textId="7987EED3"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37</w:t>
            </w:r>
            <w:r w:rsidR="00F547CC">
              <w:rPr>
                <w:rFonts w:ascii="Arial" w:hAnsi="Arial" w:cs="Arial"/>
                <w:b/>
                <w:bCs/>
                <w:i/>
                <w:iCs/>
                <w:color w:val="000000"/>
              </w:rPr>
              <w:t>,</w:t>
            </w:r>
            <w:r w:rsidRPr="000C1D79">
              <w:rPr>
                <w:rFonts w:ascii="Arial" w:hAnsi="Arial" w:cs="Arial"/>
                <w:b/>
                <w:bCs/>
                <w:i/>
                <w:iCs/>
                <w:color w:val="000000"/>
              </w:rPr>
              <w:t>5%</w:t>
            </w:r>
          </w:p>
        </w:tc>
        <w:tc>
          <w:tcPr>
            <w:tcW w:w="1100" w:type="dxa"/>
            <w:tcBorders>
              <w:top w:val="single" w:sz="4" w:space="0" w:color="A6A6A6"/>
              <w:left w:val="nil"/>
              <w:bottom w:val="single" w:sz="2" w:space="0" w:color="808080"/>
              <w:right w:val="nil"/>
            </w:tcBorders>
            <w:shd w:val="clear" w:color="auto" w:fill="F2F2F2"/>
            <w:vAlign w:val="bottom"/>
          </w:tcPr>
          <w:p w14:paraId="308136FA" w14:textId="736C1A1C"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38</w:t>
            </w:r>
            <w:r w:rsidR="00F547CC">
              <w:rPr>
                <w:rFonts w:ascii="Arial" w:hAnsi="Arial" w:cs="Arial"/>
                <w:b/>
                <w:bCs/>
                <w:i/>
                <w:iCs/>
                <w:color w:val="000000"/>
              </w:rPr>
              <w:t>,</w:t>
            </w:r>
            <w:r w:rsidRPr="000C1D79">
              <w:rPr>
                <w:rFonts w:ascii="Arial" w:hAnsi="Arial" w:cs="Arial"/>
                <w:b/>
                <w:bCs/>
                <w:i/>
                <w:iCs/>
                <w:color w:val="000000"/>
              </w:rPr>
              <w:t>7%</w:t>
            </w:r>
          </w:p>
        </w:tc>
        <w:tc>
          <w:tcPr>
            <w:tcW w:w="1100" w:type="dxa"/>
            <w:tcBorders>
              <w:top w:val="single" w:sz="4" w:space="0" w:color="A6A6A6"/>
              <w:left w:val="nil"/>
              <w:bottom w:val="single" w:sz="2" w:space="0" w:color="808080"/>
              <w:right w:val="nil"/>
            </w:tcBorders>
            <w:shd w:val="clear" w:color="auto" w:fill="F2F2F2"/>
            <w:vAlign w:val="bottom"/>
          </w:tcPr>
          <w:p w14:paraId="6826D0FC" w14:textId="72E7489A" w:rsidR="000C1D79" w:rsidRPr="00F547CC" w:rsidRDefault="000C1D79" w:rsidP="000C1D79">
            <w:pPr>
              <w:tabs>
                <w:tab w:val="left" w:pos="0"/>
                <w:tab w:val="left" w:pos="284"/>
              </w:tabs>
              <w:ind w:right="-90"/>
              <w:contextualSpacing/>
              <w:jc w:val="center"/>
              <w:rPr>
                <w:rFonts w:ascii="Arial" w:hAnsi="Arial" w:cs="Arial"/>
                <w:b/>
                <w:i/>
                <w:color w:val="000000"/>
                <w:sz w:val="18"/>
                <w:szCs w:val="18"/>
                <w:lang w:val="el-GR"/>
              </w:rPr>
            </w:pPr>
            <w:r w:rsidRPr="000C1D79">
              <w:rPr>
                <w:rFonts w:ascii="Arial" w:hAnsi="Arial" w:cs="Arial"/>
                <w:b/>
                <w:bCs/>
                <w:i/>
                <w:iCs/>
                <w:color w:val="000000"/>
              </w:rPr>
              <w:t>-1</w:t>
            </w:r>
            <w:r w:rsidR="00F547CC">
              <w:rPr>
                <w:rFonts w:ascii="Arial" w:hAnsi="Arial" w:cs="Arial"/>
                <w:b/>
                <w:bCs/>
                <w:i/>
                <w:iCs/>
                <w:color w:val="000000"/>
              </w:rPr>
              <w:t>,</w:t>
            </w:r>
            <w:r w:rsidRPr="000C1D79">
              <w:rPr>
                <w:rFonts w:ascii="Arial" w:hAnsi="Arial" w:cs="Arial"/>
                <w:b/>
                <w:bCs/>
                <w:i/>
                <w:iCs/>
                <w:color w:val="000000"/>
              </w:rPr>
              <w:t>2</w:t>
            </w:r>
            <w:r w:rsidR="00F547CC">
              <w:rPr>
                <w:rFonts w:ascii="Arial" w:hAnsi="Arial" w:cs="Arial"/>
                <w:b/>
                <w:bCs/>
                <w:i/>
                <w:iCs/>
                <w:color w:val="000000"/>
                <w:lang w:val="el-GR"/>
              </w:rPr>
              <w:t xml:space="preserve"> μον</w:t>
            </w:r>
          </w:p>
        </w:tc>
      </w:tr>
    </w:tbl>
    <w:p w14:paraId="01431460" w14:textId="3EF2F0EF" w:rsidR="000C1D79" w:rsidRDefault="000C1D79" w:rsidP="009E285A">
      <w:pPr>
        <w:jc w:val="both"/>
        <w:rPr>
          <w:rFonts w:ascii="Arial" w:hAnsi="Arial" w:cs="Arial"/>
          <w:b/>
          <w:bCs/>
          <w:lang w:val="en-US"/>
        </w:rPr>
      </w:pPr>
    </w:p>
    <w:p w14:paraId="6F424C26" w14:textId="7AC40BDB" w:rsidR="001D7A36" w:rsidRPr="00703CCA" w:rsidRDefault="008925AD" w:rsidP="001D7A36">
      <w:pPr>
        <w:jc w:val="both"/>
        <w:rPr>
          <w:rFonts w:ascii="Arial" w:hAnsi="Arial" w:cs="Arial"/>
          <w:b/>
          <w:sz w:val="24"/>
          <w:szCs w:val="24"/>
        </w:rPr>
      </w:pPr>
      <w:r w:rsidRPr="006E0597">
        <w:rPr>
          <w:rFonts w:ascii="Arial" w:hAnsi="Arial" w:cs="Arial"/>
          <w:b/>
          <w:bCs/>
          <w:noProof/>
        </w:rPr>
        <mc:AlternateContent>
          <mc:Choice Requires="wps">
            <w:drawing>
              <wp:anchor distT="0" distB="0" distL="114300" distR="114300" simplePos="0" relativeHeight="251664397" behindDoc="0" locked="0" layoutInCell="1" allowOverlap="1" wp14:anchorId="64488312" wp14:editId="03D5B0F5">
                <wp:simplePos x="0" y="0"/>
                <wp:positionH relativeFrom="margin">
                  <wp:align>right</wp:align>
                </wp:positionH>
                <wp:positionV relativeFrom="paragraph">
                  <wp:posOffset>177800</wp:posOffset>
                </wp:positionV>
                <wp:extent cx="664083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D19E2" id="Straight Connector 5" o:spid="_x0000_s1026" style="position:absolute;flip:y;z-index:2516643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7pt,14pt" to="99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" strokecolor="#00b0f0" strokeweight=".6pt">
                <v:stroke joinstyle="miter"/>
                <w10:wrap anchorx="margin"/>
              </v:line>
            </w:pict>
          </mc:Fallback>
        </mc:AlternateContent>
      </w:r>
      <w:r w:rsidR="001D7A36">
        <w:rPr>
          <w:rFonts w:ascii="Arial" w:hAnsi="Arial" w:cs="Arial"/>
          <w:b/>
          <w:color w:val="00B0F0"/>
          <w:sz w:val="24"/>
          <w:szCs w:val="24"/>
        </w:rPr>
        <w:t>ΒΙΩΣΙΜΗ ΑΝΑΠΤΥΞΗ</w:t>
      </w:r>
    </w:p>
    <w:p w14:paraId="033A50AB" w14:textId="78E16A9D" w:rsidR="008925AD" w:rsidRPr="008925AD" w:rsidRDefault="008925AD" w:rsidP="008925AD">
      <w:pPr>
        <w:pStyle w:val="NormalWeb"/>
        <w:jc w:val="both"/>
        <w:rPr>
          <w:rFonts w:ascii="Arial" w:eastAsiaTheme="minorHAnsi" w:hAnsi="Arial" w:cs="Arial"/>
          <w:color w:val="000000" w:themeColor="text1"/>
          <w:sz w:val="22"/>
          <w:szCs w:val="22"/>
          <w:lang w:eastAsia="en-US"/>
        </w:rPr>
      </w:pPr>
      <w:r w:rsidRPr="008925AD">
        <w:rPr>
          <w:rFonts w:ascii="Arial" w:eastAsiaTheme="minorHAnsi" w:hAnsi="Arial" w:cs="Arial"/>
          <w:color w:val="000000" w:themeColor="text1"/>
          <w:sz w:val="22"/>
          <w:szCs w:val="22"/>
          <w:lang w:eastAsia="en-US"/>
        </w:rPr>
        <w:t>To 2024 συνεχίστηκαν οι σημαντικές επιδόσεις μας σε θέματα βιώσιμης ανάπτυξης, όπως αυτές αποτυπώνονται και στην πρώτη ενοποιημένη Έκθεση Βιωσιμότητας για τον Όμιλο ΟΤΕ. Ενδεικτικά, στο τομέα του Περιβάλλοντος πετύχαμε:</w:t>
      </w:r>
    </w:p>
    <w:p w14:paraId="6F3572BB" w14:textId="77777777" w:rsidR="008925AD" w:rsidRPr="00454AA6" w:rsidRDefault="008925AD" w:rsidP="008925AD">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Μείωση των εκπομπών σε όλη την αλυσίδα αξίας κατά 8% το 2024, σε σχέση με το προηγούμενο έτος</w:t>
      </w:r>
    </w:p>
    <w:p w14:paraId="707F5C21" w14:textId="77777777" w:rsidR="008925AD" w:rsidRPr="00454AA6" w:rsidRDefault="008925AD" w:rsidP="008925AD">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100% κάλυψη των αναγκών σε ηλεκτρική ενέργεια από ανανεώσιμες πηγές</w:t>
      </w:r>
    </w:p>
    <w:p w14:paraId="60FE59FE" w14:textId="77777777" w:rsidR="008925AD" w:rsidRPr="00454AA6" w:rsidRDefault="008925AD" w:rsidP="008925AD">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 xml:space="preserve">88% των παραγόμενων αποβλήτων ανακυκλώθηκε </w:t>
      </w:r>
    </w:p>
    <w:p w14:paraId="20EE4E01" w14:textId="20F8B8A5" w:rsidR="001D7A36" w:rsidRPr="00454AA6" w:rsidRDefault="008925AD" w:rsidP="00454AA6">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 xml:space="preserve">Βιώσιμη διαχείρισή του 100% των ICT αποβλήτων </w:t>
      </w:r>
    </w:p>
    <w:p w14:paraId="55C4857F" w14:textId="77777777" w:rsidR="001D7A36" w:rsidRPr="004F331D" w:rsidRDefault="001D7A36" w:rsidP="009E285A">
      <w:pPr>
        <w:jc w:val="both"/>
        <w:rPr>
          <w:rFonts w:ascii="Arial" w:hAnsi="Arial" w:cs="Arial"/>
          <w:b/>
          <w:bCs/>
        </w:rPr>
      </w:pPr>
    </w:p>
    <w:p w14:paraId="47D2CA7F" w14:textId="0CC89C9F" w:rsidR="00526E37" w:rsidRPr="00051E74" w:rsidRDefault="00526E37" w:rsidP="00526E37">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ΕΛΛΑΔΑ</w:t>
      </w:r>
    </w:p>
    <w:p w14:paraId="184B3525" w14:textId="69E0FFBB" w:rsidR="00526E37" w:rsidRPr="00806D3A" w:rsidRDefault="00526E37" w:rsidP="00806D3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6" behindDoc="0" locked="0" layoutInCell="1" allowOverlap="1" wp14:anchorId="6CCF4878" wp14:editId="671C1EB3">
                <wp:simplePos x="0" y="0"/>
                <wp:positionH relativeFrom="column">
                  <wp:posOffset>2752</wp:posOffset>
                </wp:positionH>
                <wp:positionV relativeFrom="paragraph">
                  <wp:posOffset>11642</wp:posOffset>
                </wp:positionV>
                <wp:extent cx="664083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27D6F" id="Straight Connector 1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4A6029F9" w14:textId="77777777" w:rsidR="00526E37" w:rsidRDefault="00526E37" w:rsidP="00F3167A">
      <w:pPr>
        <w:rPr>
          <w:rFonts w:ascii="Arial" w:hAnsi="Arial" w:cs="Arial"/>
          <w:strike/>
          <w:sz w:val="14"/>
          <w:szCs w:val="14"/>
        </w:rPr>
      </w:pP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EB4D46" w:rsidRPr="001745EE" w14:paraId="0943D146" w14:textId="77777777" w:rsidTr="00EB4D46">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03C076" w14:textId="5AE4817F" w:rsidR="00EB4D46" w:rsidRPr="00EB4D46" w:rsidRDefault="00EB4D46" w:rsidP="00744EE5">
            <w:pPr>
              <w:pStyle w:val="ColorfulList-Accent11"/>
              <w:tabs>
                <w:tab w:val="left" w:pos="0"/>
                <w:tab w:val="left" w:pos="284"/>
              </w:tabs>
              <w:ind w:left="0" w:right="-90"/>
              <w:rPr>
                <w:rFonts w:ascii="Arial" w:hAnsi="Arial" w:cs="Arial"/>
                <w:i/>
                <w:lang w:val="el-GR"/>
              </w:rPr>
            </w:pPr>
            <w:bookmarkStart w:id="2" w:name="_Hlk188632068"/>
            <w:r w:rsidRPr="00EB4D46">
              <w:rPr>
                <w:rFonts w:ascii="Arial" w:hAnsi="Arial" w:cs="Arial"/>
                <w:b/>
                <w:lang w:val="el-GR"/>
              </w:rPr>
              <w:t>Λειτουργικά Στοιχεία</w:t>
            </w:r>
            <w:r w:rsidR="00F30F76">
              <w:rPr>
                <w:rFonts w:ascii="Arial" w:hAnsi="Arial" w:cs="Arial"/>
                <w:b/>
                <w:lang w:val="el-GR"/>
              </w:rPr>
              <w:t xml:space="preserve"> Σταθερής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4BFB2424"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Q4'24</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CA65889"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Q4'23</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9F6959"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2992C43" w14:textId="455F4561" w:rsidR="00EB4D46" w:rsidRPr="00EB4D46" w:rsidRDefault="00EB4D4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tr w:rsidR="00EB4D46" w:rsidRPr="001745EE" w14:paraId="2A80577C" w14:textId="77777777" w:rsidTr="00EB4D46">
        <w:trPr>
          <w:trHeight w:val="292"/>
        </w:trPr>
        <w:tc>
          <w:tcPr>
            <w:tcW w:w="4256"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09C0101F" w14:textId="76A531E8" w:rsidR="00EB4D46" w:rsidRPr="004F331D" w:rsidRDefault="00EB4D46" w:rsidP="00744EE5">
            <w:pPr>
              <w:pStyle w:val="ColorfulList-Accent11"/>
              <w:tabs>
                <w:tab w:val="left" w:pos="0"/>
                <w:tab w:val="left" w:pos="284"/>
              </w:tabs>
              <w:ind w:left="0" w:right="-90"/>
              <w:rPr>
                <w:rFonts w:ascii="Arial" w:hAnsi="Arial" w:cs="Arial"/>
                <w:b/>
                <w:i/>
                <w:lang w:val="el-GR"/>
              </w:rPr>
            </w:pPr>
            <w:r w:rsidRPr="004F331D">
              <w:rPr>
                <w:rFonts w:ascii="Arial" w:hAnsi="Arial" w:cs="Arial"/>
                <w:b/>
              </w:rPr>
              <w:t>Συνδέσεις Σταθερής</w:t>
            </w:r>
          </w:p>
        </w:tc>
        <w:tc>
          <w:tcPr>
            <w:tcW w:w="1559"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83736C0" w14:textId="24D8260C"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580</w:t>
            </w:r>
            <w:r w:rsidR="00F547CC" w:rsidRPr="004F331D">
              <w:rPr>
                <w:rFonts w:ascii="Arial" w:hAnsi="Arial" w:cs="Arial"/>
                <w:b/>
              </w:rPr>
              <w:t>.</w:t>
            </w:r>
            <w:r w:rsidRPr="004F331D">
              <w:rPr>
                <w:rFonts w:ascii="Arial" w:hAnsi="Arial" w:cs="Arial"/>
                <w:b/>
              </w:rPr>
              <w:t>799</w:t>
            </w:r>
          </w:p>
        </w:tc>
        <w:tc>
          <w:tcPr>
            <w:tcW w:w="1293"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693C3425" w14:textId="78977909"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616</w:t>
            </w:r>
            <w:r w:rsidR="00F547CC" w:rsidRPr="004F331D">
              <w:rPr>
                <w:rFonts w:ascii="Arial" w:hAnsi="Arial" w:cs="Arial"/>
                <w:b/>
              </w:rPr>
              <w:t>.</w:t>
            </w:r>
            <w:r w:rsidRPr="004F331D">
              <w:rPr>
                <w:rFonts w:ascii="Arial" w:hAnsi="Arial" w:cs="Arial"/>
                <w:b/>
              </w:rPr>
              <w:t>711</w:t>
            </w:r>
          </w:p>
        </w:tc>
        <w:tc>
          <w:tcPr>
            <w:tcW w:w="115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45A96BD3" w14:textId="65BF270F"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-1</w:t>
            </w:r>
            <w:r w:rsidR="00F547CC" w:rsidRPr="004F331D">
              <w:rPr>
                <w:rFonts w:ascii="Arial" w:hAnsi="Arial" w:cs="Arial"/>
                <w:b/>
              </w:rPr>
              <w:t>,</w:t>
            </w:r>
            <w:r w:rsidRPr="004F331D">
              <w:rPr>
                <w:rFonts w:ascii="Arial" w:hAnsi="Arial" w:cs="Arial"/>
                <w:b/>
              </w:rPr>
              <w:t>4%</w:t>
            </w:r>
          </w:p>
        </w:tc>
        <w:tc>
          <w:tcPr>
            <w:tcW w:w="1118"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0F9A4536" w14:textId="5B94A0B4" w:rsidR="00EB4D46" w:rsidRPr="004F331D" w:rsidRDefault="00EB4D46" w:rsidP="00744EE5">
            <w:pPr>
              <w:pStyle w:val="ColorfulList-Accent11"/>
              <w:tabs>
                <w:tab w:val="left" w:pos="0"/>
                <w:tab w:val="left" w:pos="284"/>
              </w:tabs>
              <w:ind w:left="0" w:right="-90"/>
              <w:jc w:val="center"/>
              <w:rPr>
                <w:rFonts w:ascii="Arial" w:hAnsi="Arial" w:cs="Arial"/>
                <w:b/>
                <w:i/>
                <w:lang w:val="el-GR"/>
              </w:rPr>
            </w:pPr>
            <w:r w:rsidRPr="004F331D">
              <w:rPr>
                <w:rFonts w:ascii="Arial" w:hAnsi="Arial" w:cs="Arial"/>
                <w:b/>
              </w:rPr>
              <w:t>(35</w:t>
            </w:r>
            <w:r w:rsidR="00F547CC" w:rsidRPr="004F331D">
              <w:rPr>
                <w:rFonts w:ascii="Arial" w:hAnsi="Arial" w:cs="Arial"/>
                <w:b/>
              </w:rPr>
              <w:t>.</w:t>
            </w:r>
            <w:r w:rsidRPr="004F331D">
              <w:rPr>
                <w:rFonts w:ascii="Arial" w:hAnsi="Arial" w:cs="Arial"/>
                <w:b/>
              </w:rPr>
              <w:t>912)</w:t>
            </w:r>
          </w:p>
        </w:tc>
        <w:tc>
          <w:tcPr>
            <w:tcW w:w="1327"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C5DEE01" w14:textId="6700E9F4" w:rsidR="00EB4D46" w:rsidRPr="004F331D" w:rsidRDefault="00EB4D4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(5</w:t>
            </w:r>
            <w:r w:rsidR="00F547CC" w:rsidRPr="004F331D">
              <w:rPr>
                <w:rFonts w:ascii="Arial" w:hAnsi="Arial" w:cs="Arial"/>
                <w:b/>
              </w:rPr>
              <w:t>.</w:t>
            </w:r>
            <w:r w:rsidRPr="004F331D">
              <w:rPr>
                <w:rFonts w:ascii="Arial" w:hAnsi="Arial" w:cs="Arial"/>
                <w:b/>
              </w:rPr>
              <w:t>852)</w:t>
            </w:r>
          </w:p>
        </w:tc>
      </w:tr>
      <w:tr w:rsidR="00EB4D46" w:rsidRPr="001745EE" w14:paraId="31D8F933" w14:textId="77777777" w:rsidTr="00EB4D46">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18A8EF97" w14:textId="46DB05B2" w:rsidR="00EB4D46" w:rsidRPr="004F331D" w:rsidRDefault="00EB4D46" w:rsidP="00744EE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Ευρυζωνικές Συνδέσεις</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23FC2888" w14:textId="121AE03B"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352</w:t>
            </w:r>
            <w:r w:rsidR="00F547CC" w:rsidRPr="004F331D">
              <w:rPr>
                <w:rFonts w:ascii="Arial" w:hAnsi="Arial" w:cs="Arial"/>
                <w:b/>
              </w:rPr>
              <w:t>.</w:t>
            </w:r>
            <w:r w:rsidRPr="004F331D">
              <w:rPr>
                <w:rFonts w:ascii="Arial" w:hAnsi="Arial" w:cs="Arial"/>
                <w:b/>
              </w:rPr>
              <w:t>149</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1BABB77C" w14:textId="79F26DA6"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355</w:t>
            </w:r>
            <w:r w:rsidR="00F547CC" w:rsidRPr="004F331D">
              <w:rPr>
                <w:rFonts w:ascii="Arial" w:hAnsi="Arial" w:cs="Arial"/>
                <w:b/>
              </w:rPr>
              <w:t>.</w:t>
            </w:r>
            <w:r w:rsidRPr="004F331D">
              <w:rPr>
                <w:rFonts w:ascii="Arial" w:hAnsi="Arial" w:cs="Arial"/>
                <w:b/>
              </w:rPr>
              <w:t>545</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25AACDDD" w14:textId="4A38D066"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-0</w:t>
            </w:r>
            <w:r w:rsidR="00F547CC" w:rsidRPr="004F331D">
              <w:rPr>
                <w:rFonts w:ascii="Arial" w:hAnsi="Arial" w:cs="Arial"/>
                <w:b/>
              </w:rPr>
              <w:t>,</w:t>
            </w:r>
            <w:r w:rsidRPr="004F331D">
              <w:rPr>
                <w:rFonts w:ascii="Arial" w:hAnsi="Arial" w:cs="Arial"/>
                <w:b/>
              </w:rPr>
              <w:t>1%</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24A86B82" w14:textId="25C4ED06"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(3</w:t>
            </w:r>
            <w:r w:rsidR="00F547CC" w:rsidRPr="004F331D">
              <w:rPr>
                <w:rFonts w:ascii="Arial" w:hAnsi="Arial" w:cs="Arial"/>
                <w:b/>
              </w:rPr>
              <w:t>.</w:t>
            </w:r>
            <w:r w:rsidRPr="004F331D">
              <w:rPr>
                <w:rFonts w:ascii="Arial" w:hAnsi="Arial" w:cs="Arial"/>
                <w:b/>
              </w:rPr>
              <w:t>396)</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6C3113FE" w14:textId="55CD55E1" w:rsidR="00EB4D46" w:rsidRPr="004F331D" w:rsidRDefault="00EB4D4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2</w:t>
            </w:r>
            <w:r w:rsidR="00F547CC" w:rsidRPr="004F331D">
              <w:rPr>
                <w:rFonts w:ascii="Arial" w:hAnsi="Arial" w:cs="Arial"/>
                <w:b/>
              </w:rPr>
              <w:t>.</w:t>
            </w:r>
            <w:r w:rsidRPr="004F331D">
              <w:rPr>
                <w:rFonts w:ascii="Arial" w:hAnsi="Arial" w:cs="Arial"/>
                <w:b/>
              </w:rPr>
              <w:t>566</w:t>
            </w:r>
          </w:p>
        </w:tc>
      </w:tr>
      <w:tr w:rsidR="00EB4D46" w:rsidRPr="001745EE" w14:paraId="6DEED8B0" w14:textId="77777777" w:rsidTr="00EB4D46">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6BDCF22A" w14:textId="7578A39A" w:rsidR="00EB4D46" w:rsidRPr="004F331D" w:rsidRDefault="006A68D3" w:rsidP="00BF7E19">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00EB4D46" w:rsidRPr="0041319F">
              <w:rPr>
                <w:rFonts w:ascii="Arial" w:hAnsi="Arial" w:cs="Arial"/>
                <w:i/>
                <w:iCs/>
                <w:lang w:val="el-GR"/>
              </w:rPr>
              <w:t xml:space="preserve">συνδέσεις οπτικών ινών </w:t>
            </w:r>
            <w:r w:rsidR="00EB4D46" w:rsidRPr="0041319F">
              <w:rPr>
                <w:rFonts w:ascii="Arial" w:hAnsi="Arial" w:cs="Arial"/>
                <w:i/>
                <w:iCs/>
              </w:rPr>
              <w:t>FTTx</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164330E4" w14:textId="74C270C4"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w:t>
            </w:r>
            <w:r w:rsidR="00F547CC">
              <w:rPr>
                <w:rFonts w:ascii="Arial" w:hAnsi="Arial" w:cs="Arial"/>
                <w:bCs/>
                <w:i/>
                <w:iCs/>
              </w:rPr>
              <w:t>.</w:t>
            </w:r>
            <w:r w:rsidRPr="000067B8">
              <w:rPr>
                <w:rFonts w:ascii="Arial" w:hAnsi="Arial" w:cs="Arial"/>
                <w:bCs/>
                <w:i/>
                <w:iCs/>
              </w:rPr>
              <w:t>612</w:t>
            </w:r>
            <w:r w:rsidR="00F547CC">
              <w:rPr>
                <w:rFonts w:ascii="Arial" w:hAnsi="Arial" w:cs="Arial"/>
                <w:bCs/>
                <w:i/>
                <w:iCs/>
              </w:rPr>
              <w:t>.</w:t>
            </w:r>
            <w:r w:rsidRPr="000067B8">
              <w:rPr>
                <w:rFonts w:ascii="Arial" w:hAnsi="Arial" w:cs="Arial"/>
                <w:bCs/>
                <w:i/>
                <w:iCs/>
              </w:rPr>
              <w:t>394</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2AB76994" w14:textId="42EC0B53"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w:t>
            </w:r>
            <w:r w:rsidR="00F547CC">
              <w:rPr>
                <w:rFonts w:ascii="Arial" w:hAnsi="Arial" w:cs="Arial"/>
                <w:bCs/>
                <w:i/>
                <w:iCs/>
              </w:rPr>
              <w:t>.</w:t>
            </w:r>
            <w:r w:rsidRPr="000067B8">
              <w:rPr>
                <w:rFonts w:ascii="Arial" w:hAnsi="Arial" w:cs="Arial"/>
                <w:bCs/>
                <w:i/>
                <w:iCs/>
              </w:rPr>
              <w:t>544</w:t>
            </w:r>
            <w:r w:rsidR="00F547CC">
              <w:rPr>
                <w:rFonts w:ascii="Arial" w:hAnsi="Arial" w:cs="Arial"/>
                <w:bCs/>
                <w:i/>
                <w:iCs/>
              </w:rPr>
              <w:t>.</w:t>
            </w:r>
            <w:r w:rsidRPr="000067B8">
              <w:rPr>
                <w:rFonts w:ascii="Arial" w:hAnsi="Arial" w:cs="Arial"/>
                <w:bCs/>
                <w:i/>
                <w:iCs/>
              </w:rPr>
              <w:t>981</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595A28EF" w14:textId="08FDD41C"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+4</w:t>
            </w:r>
            <w:r w:rsidR="00F547CC">
              <w:rPr>
                <w:rFonts w:ascii="Arial" w:hAnsi="Arial" w:cs="Arial"/>
                <w:bCs/>
                <w:i/>
                <w:iCs/>
              </w:rPr>
              <w:t>,</w:t>
            </w:r>
            <w:r w:rsidRPr="000067B8">
              <w:rPr>
                <w:rFonts w:ascii="Arial" w:hAnsi="Arial" w:cs="Arial"/>
                <w:bCs/>
                <w:i/>
                <w:iCs/>
              </w:rPr>
              <w:t>4%</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72E12E51" w14:textId="395B620F"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67</w:t>
            </w:r>
            <w:r w:rsidR="00F547CC">
              <w:rPr>
                <w:rFonts w:ascii="Arial" w:hAnsi="Arial" w:cs="Arial"/>
                <w:bCs/>
                <w:i/>
                <w:iCs/>
              </w:rPr>
              <w:t>.</w:t>
            </w:r>
            <w:r w:rsidRPr="000067B8">
              <w:rPr>
                <w:rFonts w:ascii="Arial" w:hAnsi="Arial" w:cs="Arial"/>
                <w:bCs/>
                <w:i/>
                <w:iCs/>
              </w:rPr>
              <w:t>413</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43BABCEE" w14:textId="482814CD" w:rsidR="00EB4D46" w:rsidRPr="000067B8" w:rsidRDefault="00EB4D46" w:rsidP="00744EE5">
            <w:pPr>
              <w:pStyle w:val="ColorfulList-Accent11"/>
              <w:tabs>
                <w:tab w:val="left" w:pos="0"/>
                <w:tab w:val="left" w:pos="284"/>
              </w:tabs>
              <w:ind w:left="0" w:right="-90"/>
              <w:jc w:val="center"/>
              <w:rPr>
                <w:rFonts w:ascii="Arial" w:hAnsi="Arial" w:cs="Arial"/>
                <w:bCs/>
              </w:rPr>
            </w:pPr>
            <w:r w:rsidRPr="000067B8">
              <w:rPr>
                <w:rFonts w:ascii="Arial" w:hAnsi="Arial" w:cs="Arial"/>
                <w:bCs/>
              </w:rPr>
              <w:t>20</w:t>
            </w:r>
            <w:r w:rsidR="00F547CC">
              <w:rPr>
                <w:rFonts w:ascii="Arial" w:hAnsi="Arial" w:cs="Arial"/>
                <w:bCs/>
              </w:rPr>
              <w:t>.</w:t>
            </w:r>
            <w:r w:rsidRPr="000067B8">
              <w:rPr>
                <w:rFonts w:ascii="Arial" w:hAnsi="Arial" w:cs="Arial"/>
                <w:bCs/>
              </w:rPr>
              <w:t>216</w:t>
            </w:r>
          </w:p>
        </w:tc>
      </w:tr>
      <w:tr w:rsidR="00EB4D46" w:rsidRPr="001745EE" w14:paraId="7A980B4A" w14:textId="77777777" w:rsidTr="00EB4D46">
        <w:trPr>
          <w:trHeight w:val="160"/>
        </w:trPr>
        <w:tc>
          <w:tcPr>
            <w:tcW w:w="4256" w:type="dxa"/>
            <w:tcBorders>
              <w:top w:val="nil"/>
              <w:bottom w:val="nil"/>
              <w:right w:val="single" w:sz="2" w:space="0" w:color="808080" w:themeColor="background1" w:themeShade="80"/>
            </w:tcBorders>
            <w:shd w:val="clear" w:color="auto" w:fill="FFFFFF" w:themeFill="background1"/>
            <w:vAlign w:val="center"/>
          </w:tcPr>
          <w:p w14:paraId="7EFBDD28" w14:textId="68DBD0DF" w:rsidR="00EB4D46" w:rsidRPr="004F331D" w:rsidRDefault="006A68D3" w:rsidP="00BF7E19">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00EB4D46" w:rsidRPr="0041319F">
              <w:rPr>
                <w:rFonts w:ascii="Arial" w:hAnsi="Arial" w:cs="Arial"/>
                <w:i/>
                <w:iCs/>
                <w:lang w:val="el-GR"/>
              </w:rPr>
              <w:t>συνδέσεις</w:t>
            </w:r>
            <w:r w:rsidR="00EB4D46" w:rsidRPr="004F331D">
              <w:rPr>
                <w:rFonts w:ascii="Arial" w:hAnsi="Arial" w:cs="Arial"/>
                <w:bCs/>
                <w:i/>
                <w:lang w:val="el-GR"/>
              </w:rPr>
              <w:t xml:space="preserve">  </w:t>
            </w:r>
            <w:r w:rsidR="00EB4D46" w:rsidRPr="000067B8">
              <w:rPr>
                <w:rFonts w:ascii="Arial" w:hAnsi="Arial" w:cs="Arial"/>
                <w:bCs/>
                <w:i/>
              </w:rPr>
              <w:t>FTTH</w:t>
            </w:r>
            <w:r w:rsidR="00EB4D46" w:rsidRPr="004F331D">
              <w:rPr>
                <w:rFonts w:ascii="Arial" w:hAnsi="Arial" w:cs="Arial"/>
                <w:bCs/>
                <w:i/>
                <w:lang w:val="el-GR"/>
              </w:rPr>
              <w:t xml:space="preserve"> </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1F60463D" w14:textId="1B6768A7"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394</w:t>
            </w:r>
            <w:r w:rsidR="00F547CC">
              <w:rPr>
                <w:rFonts w:ascii="Arial" w:hAnsi="Arial" w:cs="Arial"/>
                <w:bCs/>
                <w:i/>
                <w:iCs/>
              </w:rPr>
              <w:t>.</w:t>
            </w:r>
            <w:r w:rsidRPr="000067B8">
              <w:rPr>
                <w:rFonts w:ascii="Arial" w:hAnsi="Arial" w:cs="Arial"/>
                <w:bCs/>
                <w:i/>
                <w:iCs/>
              </w:rPr>
              <w:t>499</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4B734BA1" w14:textId="0A26FFE5"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250</w:t>
            </w:r>
            <w:r w:rsidR="00F547CC">
              <w:rPr>
                <w:rFonts w:ascii="Arial" w:hAnsi="Arial" w:cs="Arial"/>
                <w:bCs/>
                <w:i/>
                <w:iCs/>
              </w:rPr>
              <w:t>.</w:t>
            </w:r>
            <w:r w:rsidRPr="000067B8">
              <w:rPr>
                <w:rFonts w:ascii="Arial" w:hAnsi="Arial" w:cs="Arial"/>
                <w:bCs/>
                <w:i/>
                <w:iCs/>
              </w:rPr>
              <w:t>557</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2129458B" w14:textId="131C2239"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+57</w:t>
            </w:r>
            <w:r w:rsidR="00F547CC">
              <w:rPr>
                <w:rFonts w:ascii="Arial" w:hAnsi="Arial" w:cs="Arial"/>
                <w:bCs/>
                <w:i/>
                <w:iCs/>
              </w:rPr>
              <w:t>,</w:t>
            </w:r>
            <w:r w:rsidRPr="000067B8">
              <w:rPr>
                <w:rFonts w:ascii="Arial" w:hAnsi="Arial" w:cs="Arial"/>
                <w:bCs/>
                <w:i/>
                <w:iCs/>
              </w:rPr>
              <w:t>4%</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475DA81B" w14:textId="7A6374E7"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143</w:t>
            </w:r>
            <w:r w:rsidR="00F547CC">
              <w:rPr>
                <w:rFonts w:ascii="Arial" w:hAnsi="Arial" w:cs="Arial"/>
                <w:bCs/>
                <w:i/>
                <w:iCs/>
              </w:rPr>
              <w:t>.</w:t>
            </w:r>
            <w:r w:rsidRPr="000067B8">
              <w:rPr>
                <w:rFonts w:ascii="Arial" w:hAnsi="Arial" w:cs="Arial"/>
                <w:bCs/>
                <w:i/>
                <w:iCs/>
              </w:rPr>
              <w:t>942</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6F070001" w14:textId="1A4D3676"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39</w:t>
            </w:r>
            <w:r w:rsidR="00F547CC">
              <w:rPr>
                <w:rFonts w:ascii="Arial" w:hAnsi="Arial" w:cs="Arial"/>
                <w:bCs/>
                <w:i/>
                <w:iCs/>
              </w:rPr>
              <w:t>.</w:t>
            </w:r>
            <w:r w:rsidRPr="000067B8">
              <w:rPr>
                <w:rFonts w:ascii="Arial" w:hAnsi="Arial" w:cs="Arial"/>
                <w:bCs/>
                <w:i/>
                <w:iCs/>
              </w:rPr>
              <w:t>445</w:t>
            </w:r>
          </w:p>
        </w:tc>
      </w:tr>
      <w:tr w:rsidR="00EB4D46" w:rsidRPr="001745EE" w14:paraId="5549A33E" w14:textId="77777777" w:rsidTr="00EB4D46">
        <w:trPr>
          <w:trHeight w:val="292"/>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5F60980" w14:textId="17CEFFFA" w:rsidR="00EB4D46" w:rsidRPr="004F331D" w:rsidRDefault="00EB4D46" w:rsidP="00744EE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Συνδρομητές τηλεόρασης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3AD73177" w14:textId="6B748763"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725</w:t>
            </w:r>
            <w:r w:rsidR="00F547CC" w:rsidRPr="004F331D">
              <w:rPr>
                <w:rFonts w:ascii="Arial" w:hAnsi="Arial" w:cs="Arial"/>
                <w:b/>
              </w:rPr>
              <w:t>.</w:t>
            </w:r>
            <w:r w:rsidRPr="004F331D">
              <w:rPr>
                <w:rFonts w:ascii="Arial" w:hAnsi="Arial" w:cs="Arial"/>
                <w:b/>
              </w:rPr>
              <w:t>594</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C918462" w14:textId="3068967B"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677</w:t>
            </w:r>
            <w:r w:rsidR="00F547CC" w:rsidRPr="004F331D">
              <w:rPr>
                <w:rFonts w:ascii="Arial" w:hAnsi="Arial" w:cs="Arial"/>
                <w:b/>
              </w:rPr>
              <w:t>.</w:t>
            </w:r>
            <w:r w:rsidRPr="004F331D">
              <w:rPr>
                <w:rFonts w:ascii="Arial" w:hAnsi="Arial" w:cs="Arial"/>
                <w:b/>
              </w:rPr>
              <w:t>035</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590A1DC" w14:textId="3E149A77"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w:t>
            </w:r>
            <w:r w:rsidR="00F547CC" w:rsidRPr="004F331D">
              <w:rPr>
                <w:rFonts w:ascii="Arial" w:hAnsi="Arial" w:cs="Arial"/>
                <w:b/>
              </w:rPr>
              <w:t>,</w:t>
            </w:r>
            <w:r w:rsidRPr="004F331D">
              <w:rPr>
                <w:rFonts w:ascii="Arial" w:hAnsi="Arial" w:cs="Arial"/>
                <w:b/>
              </w:rPr>
              <w:t>2%</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89E2AF2" w14:textId="3D09D45A"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48</w:t>
            </w:r>
            <w:r w:rsidR="00F547CC" w:rsidRPr="004F331D">
              <w:rPr>
                <w:rFonts w:ascii="Arial" w:hAnsi="Arial" w:cs="Arial"/>
                <w:b/>
              </w:rPr>
              <w:t>.</w:t>
            </w:r>
            <w:r w:rsidRPr="004F331D">
              <w:rPr>
                <w:rFonts w:ascii="Arial" w:hAnsi="Arial" w:cs="Arial"/>
                <w:b/>
              </w:rPr>
              <w:t>559</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6E25E55" w14:textId="36A0CC38" w:rsidR="00EB4D46" w:rsidRPr="004F331D" w:rsidRDefault="00EB4D4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15</w:t>
            </w:r>
            <w:r w:rsidR="00F547CC" w:rsidRPr="004F331D">
              <w:rPr>
                <w:rFonts w:ascii="Arial" w:hAnsi="Arial" w:cs="Arial"/>
                <w:b/>
              </w:rPr>
              <w:t>.</w:t>
            </w:r>
            <w:r w:rsidRPr="004F331D">
              <w:rPr>
                <w:rFonts w:ascii="Arial" w:hAnsi="Arial" w:cs="Arial"/>
                <w:b/>
              </w:rPr>
              <w:t>405</w:t>
            </w:r>
          </w:p>
        </w:tc>
      </w:tr>
    </w:tbl>
    <w:bookmarkEnd w:id="2"/>
    <w:p w14:paraId="6ADF566F" w14:textId="3A390329" w:rsidR="00526E37" w:rsidRPr="00526E37" w:rsidRDefault="00806D3A" w:rsidP="00276F29">
      <w:pPr>
        <w:jc w:val="both"/>
        <w:rPr>
          <w:rFonts w:ascii="Arial" w:hAnsi="Arial" w:cs="Arial"/>
          <w:strike/>
          <w:sz w:val="14"/>
          <w:szCs w:val="14"/>
        </w:rPr>
      </w:pPr>
      <w:r w:rsidRPr="003E7090">
        <w:rPr>
          <w:rFonts w:ascii="Arial" w:hAnsi="Arial" w:cs="Arial"/>
          <w:i/>
          <w:sz w:val="16"/>
          <w:szCs w:val="16"/>
        </w:rPr>
        <w:t>Σημείωση: Όλοι οι λειτουργικοί Δείκτες Απόδοσης για τις περιόδους 2024 και 2023 έχουν αναταξινομηθεί. Τα λειτουργικά στοιχεία Σταθερής, Ευρυζωνικ</w:t>
      </w:r>
      <w:r>
        <w:rPr>
          <w:rFonts w:ascii="Arial" w:hAnsi="Arial" w:cs="Arial"/>
          <w:i/>
          <w:sz w:val="16"/>
          <w:szCs w:val="16"/>
        </w:rPr>
        <w:t>ών συνδέσεων</w:t>
      </w:r>
      <w:r w:rsidRPr="003E7090">
        <w:rPr>
          <w:rFonts w:ascii="Arial" w:hAnsi="Arial" w:cs="Arial"/>
          <w:i/>
          <w:sz w:val="16"/>
          <w:szCs w:val="16"/>
        </w:rPr>
        <w:t xml:space="preserve"> και Τηλεόρασης περιλαμβάνουν μόνο συνδέσεις που σχετίζονται με </w:t>
      </w:r>
      <w:r w:rsidRPr="000B31A0">
        <w:rPr>
          <w:rFonts w:ascii="Arial" w:hAnsi="Arial" w:cs="Arial"/>
          <w:i/>
          <w:sz w:val="16"/>
          <w:szCs w:val="16"/>
        </w:rPr>
        <w:t>έσοδα (RGU: Revenue Generating Unit ).</w:t>
      </w:r>
    </w:p>
    <w:p w14:paraId="06CBD545" w14:textId="77777777" w:rsidR="00F910F6" w:rsidRPr="00F910F6" w:rsidRDefault="00F910F6" w:rsidP="00352204">
      <w:pPr>
        <w:pStyle w:val="ColorfulList-Accent11"/>
        <w:tabs>
          <w:tab w:val="left" w:pos="0"/>
          <w:tab w:val="left" w:pos="284"/>
        </w:tabs>
        <w:ind w:left="0" w:right="-90"/>
        <w:jc w:val="both"/>
        <w:rPr>
          <w:rFonts w:ascii="Arial" w:hAnsi="Arial" w:cs="Arial"/>
          <w:i/>
          <w:sz w:val="16"/>
          <w:szCs w:val="16"/>
          <w:highlight w:val="red"/>
          <w:lang w:val="el-GR"/>
        </w:rPr>
      </w:pPr>
    </w:p>
    <w:p w14:paraId="482404AF" w14:textId="1AA741DC" w:rsidR="00151AF1" w:rsidRPr="00D66702" w:rsidRDefault="00E13CCE" w:rsidP="00D66702">
      <w:pPr>
        <w:spacing w:line="280" w:lineRule="exact"/>
        <w:jc w:val="both"/>
        <w:rPr>
          <w:rFonts w:ascii="Arial" w:hAnsi="Arial" w:cs="Arial"/>
        </w:rPr>
      </w:pPr>
      <w:r w:rsidRPr="00D66702">
        <w:rPr>
          <w:rFonts w:ascii="Arial" w:hAnsi="Arial" w:cs="Arial"/>
          <w:b/>
          <w:bCs/>
        </w:rPr>
        <w:t>FTTH:</w:t>
      </w:r>
      <w:r w:rsidRPr="00D66702">
        <w:rPr>
          <w:rFonts w:ascii="Arial" w:hAnsi="Arial" w:cs="Arial"/>
        </w:rPr>
        <w:t xml:space="preserve"> </w:t>
      </w:r>
      <w:r w:rsidR="007909FD" w:rsidRPr="00D66702">
        <w:rPr>
          <w:rFonts w:ascii="Arial" w:hAnsi="Arial" w:cs="Arial"/>
        </w:rPr>
        <w:t>Το 2024, ο OTE εδραίωσε τη θέση του</w:t>
      </w:r>
      <w:r w:rsidR="0049056A" w:rsidRPr="00D66702">
        <w:rPr>
          <w:rFonts w:ascii="Arial" w:hAnsi="Arial" w:cs="Arial"/>
        </w:rPr>
        <w:t xml:space="preserve"> ως ο μεγαλύτερος πάροχος οπτικής ίνας στην Ελλάδα. </w:t>
      </w:r>
      <w:r w:rsidR="000C3A5F" w:rsidRPr="00D66702">
        <w:rPr>
          <w:rFonts w:ascii="Arial" w:hAnsi="Arial" w:cs="Arial"/>
        </w:rPr>
        <w:t xml:space="preserve">Στο τέλος </w:t>
      </w:r>
      <w:r w:rsidR="000359FE" w:rsidRPr="00D66702">
        <w:rPr>
          <w:rFonts w:ascii="Arial" w:hAnsi="Arial" w:cs="Arial"/>
        </w:rPr>
        <w:t>Δεκεμβρίου</w:t>
      </w:r>
      <w:r w:rsidR="0049056A" w:rsidRPr="00D66702">
        <w:rPr>
          <w:rFonts w:ascii="Arial" w:hAnsi="Arial" w:cs="Arial"/>
        </w:rPr>
        <w:t xml:space="preserve"> 2024</w:t>
      </w:r>
      <w:r w:rsidR="004048C8" w:rsidRPr="00D66702">
        <w:rPr>
          <w:rFonts w:ascii="Arial" w:hAnsi="Arial" w:cs="Arial"/>
        </w:rPr>
        <w:t>,</w:t>
      </w:r>
      <w:r w:rsidR="000C3A5F" w:rsidRPr="00D66702">
        <w:rPr>
          <w:rFonts w:ascii="Arial" w:hAnsi="Arial" w:cs="Arial"/>
        </w:rPr>
        <w:t xml:space="preserve"> </w:t>
      </w:r>
      <w:r w:rsidR="00A433F9" w:rsidRPr="00D66702">
        <w:rPr>
          <w:rFonts w:ascii="Arial" w:hAnsi="Arial" w:cs="Arial"/>
        </w:rPr>
        <w:t>1,</w:t>
      </w:r>
      <w:r w:rsidR="0049056A" w:rsidRPr="00D66702">
        <w:rPr>
          <w:rFonts w:ascii="Arial" w:hAnsi="Arial" w:cs="Arial"/>
        </w:rPr>
        <w:t>7</w:t>
      </w:r>
      <w:r w:rsidR="00A433F9" w:rsidRPr="00D66702">
        <w:rPr>
          <w:rFonts w:ascii="Arial" w:hAnsi="Arial" w:cs="Arial"/>
        </w:rPr>
        <w:t xml:space="preserve"> εκατ. σπίτια και επιχειρήσεις </w:t>
      </w:r>
      <w:r w:rsidR="000C3A5F" w:rsidRPr="00D66702">
        <w:rPr>
          <w:rFonts w:ascii="Arial" w:hAnsi="Arial" w:cs="Arial"/>
        </w:rPr>
        <w:t xml:space="preserve">είχαν πρόσβαση στο </w:t>
      </w:r>
      <w:r w:rsidR="004845C4" w:rsidRPr="00D66702">
        <w:rPr>
          <w:rFonts w:ascii="Arial" w:hAnsi="Arial" w:cs="Arial"/>
        </w:rPr>
        <w:t>δίκτυο</w:t>
      </w:r>
      <w:r w:rsidR="000C3A5F" w:rsidRPr="00D66702">
        <w:rPr>
          <w:rFonts w:ascii="Arial" w:hAnsi="Arial" w:cs="Arial"/>
        </w:rPr>
        <w:t xml:space="preserve"> FTTH</w:t>
      </w:r>
      <w:r w:rsidR="009165B7" w:rsidRPr="00D66702">
        <w:rPr>
          <w:rFonts w:ascii="Arial" w:hAnsi="Arial" w:cs="Arial"/>
        </w:rPr>
        <w:t xml:space="preserve"> του ΟΤΕ,</w:t>
      </w:r>
      <w:r w:rsidR="0049056A" w:rsidRPr="00D66702">
        <w:rPr>
          <w:rFonts w:ascii="Arial" w:hAnsi="Arial" w:cs="Arial"/>
        </w:rPr>
        <w:t xml:space="preserve"> </w:t>
      </w:r>
      <w:r w:rsidR="009165B7" w:rsidRPr="00D66702">
        <w:rPr>
          <w:rFonts w:ascii="Arial" w:hAnsi="Arial" w:cs="Arial"/>
        </w:rPr>
        <w:t xml:space="preserve">το οποίο καλύπτει πλέον </w:t>
      </w:r>
      <w:r w:rsidR="00C64ABC" w:rsidRPr="00D66702">
        <w:rPr>
          <w:rFonts w:ascii="Arial" w:hAnsi="Arial" w:cs="Arial"/>
        </w:rPr>
        <w:t>ένα πολύ σημαντικό κομμάτι</w:t>
      </w:r>
      <w:r w:rsidR="0049056A" w:rsidRPr="00D66702">
        <w:rPr>
          <w:rFonts w:ascii="Arial" w:hAnsi="Arial" w:cs="Arial"/>
        </w:rPr>
        <w:t xml:space="preserve"> των συνολικών εγκατεστημένων γραμμών FTTH στην Ελλάδα.</w:t>
      </w:r>
      <w:r w:rsidR="002D1876" w:rsidRPr="00D66702">
        <w:rPr>
          <w:rFonts w:ascii="Arial" w:hAnsi="Arial" w:cs="Arial"/>
        </w:rPr>
        <w:t xml:space="preserve"> </w:t>
      </w:r>
      <w:r w:rsidR="00151AF1" w:rsidRPr="00D66702">
        <w:rPr>
          <w:rFonts w:ascii="Arial" w:hAnsi="Arial" w:cs="Arial"/>
        </w:rPr>
        <w:t xml:space="preserve">Ο ΟΤΕ θα συνεχίσει να </w:t>
      </w:r>
      <w:r w:rsidR="008450B3" w:rsidRPr="00D66702">
        <w:rPr>
          <w:rFonts w:ascii="Arial" w:hAnsi="Arial" w:cs="Arial"/>
        </w:rPr>
        <w:t>επεκτείνει την κάλυψη FTTH</w:t>
      </w:r>
      <w:r w:rsidR="00151AF1" w:rsidRPr="00D66702">
        <w:rPr>
          <w:rFonts w:ascii="Arial" w:hAnsi="Arial" w:cs="Arial"/>
        </w:rPr>
        <w:t xml:space="preserve"> ώστε να φτάσει </w:t>
      </w:r>
      <w:r w:rsidR="009165B7" w:rsidRPr="00D66702">
        <w:rPr>
          <w:rFonts w:ascii="Arial" w:hAnsi="Arial" w:cs="Arial"/>
        </w:rPr>
        <w:t xml:space="preserve">σε </w:t>
      </w:r>
      <w:r w:rsidR="00151AF1" w:rsidRPr="00D66702">
        <w:rPr>
          <w:rFonts w:ascii="Arial" w:hAnsi="Arial" w:cs="Arial"/>
        </w:rPr>
        <w:t xml:space="preserve">περίπου 2,1 εκατ. νοικοκυριά και επιχειρήσεις μέχρι το τέλος του 2025 και </w:t>
      </w:r>
      <w:r w:rsidR="009165B7" w:rsidRPr="00D66702">
        <w:rPr>
          <w:rFonts w:ascii="Arial" w:hAnsi="Arial" w:cs="Arial"/>
        </w:rPr>
        <w:t xml:space="preserve">σε </w:t>
      </w:r>
      <w:r w:rsidR="00151AF1" w:rsidRPr="00D66702">
        <w:rPr>
          <w:rFonts w:ascii="Arial" w:hAnsi="Arial" w:cs="Arial"/>
        </w:rPr>
        <w:t>περίπου 3 εκατ. νοικοκυριά και επιχειρήσεις μέχρι το 2027.</w:t>
      </w:r>
    </w:p>
    <w:p w14:paraId="520453F5" w14:textId="76852F6A" w:rsidR="00D66702" w:rsidRPr="00D66702" w:rsidRDefault="00F20C6B" w:rsidP="00D66702">
      <w:pPr>
        <w:spacing w:line="280" w:lineRule="exact"/>
        <w:jc w:val="both"/>
        <w:rPr>
          <w:rFonts w:ascii="Arial" w:hAnsi="Arial" w:cs="Arial"/>
        </w:rPr>
      </w:pPr>
      <w:r w:rsidRPr="00D66702">
        <w:rPr>
          <w:rFonts w:ascii="Arial" w:hAnsi="Arial" w:cs="Arial"/>
        </w:rPr>
        <w:t>Για ένα ακόμη τρίμηνο, ο</w:t>
      </w:r>
      <w:r w:rsidR="00745AA0" w:rsidRPr="00D66702">
        <w:rPr>
          <w:rFonts w:ascii="Arial" w:hAnsi="Arial" w:cs="Arial"/>
        </w:rPr>
        <w:t xml:space="preserve"> ΟΤΕ </w:t>
      </w:r>
      <w:r w:rsidR="005300C3" w:rsidRPr="00D66702">
        <w:rPr>
          <w:rFonts w:ascii="Arial" w:hAnsi="Arial" w:cs="Arial"/>
        </w:rPr>
        <w:t xml:space="preserve">συνεχίζει </w:t>
      </w:r>
      <w:r w:rsidRPr="00D66702">
        <w:rPr>
          <w:rFonts w:ascii="Arial" w:hAnsi="Arial" w:cs="Arial"/>
        </w:rPr>
        <w:t xml:space="preserve">να ενισχύει δυναμικά την πελατειακή βάση του FTTH, </w:t>
      </w:r>
      <w:r w:rsidR="005300C3" w:rsidRPr="00D66702">
        <w:rPr>
          <w:rFonts w:ascii="Arial" w:hAnsi="Arial" w:cs="Arial"/>
        </w:rPr>
        <w:t>καταγράφοντας</w:t>
      </w:r>
      <w:r w:rsidR="00745AA0" w:rsidRPr="00D66702">
        <w:rPr>
          <w:rFonts w:ascii="Arial" w:hAnsi="Arial" w:cs="Arial"/>
        </w:rPr>
        <w:t xml:space="preserve"> </w:t>
      </w:r>
      <w:r w:rsidR="008B2ED1">
        <w:rPr>
          <w:rFonts w:ascii="Arial" w:hAnsi="Arial" w:cs="Arial"/>
        </w:rPr>
        <w:t>ρεκόρ νέων</w:t>
      </w:r>
      <w:r w:rsidR="00745AA0" w:rsidRPr="00D66702">
        <w:rPr>
          <w:rFonts w:ascii="Arial" w:hAnsi="Arial" w:cs="Arial"/>
        </w:rPr>
        <w:t xml:space="preserve"> </w:t>
      </w:r>
      <w:r w:rsidR="008B2ED1">
        <w:rPr>
          <w:rFonts w:ascii="Arial" w:hAnsi="Arial" w:cs="Arial"/>
        </w:rPr>
        <w:t xml:space="preserve">συνδέσεων στους </w:t>
      </w:r>
      <w:r w:rsidR="008B2ED1" w:rsidRPr="00D66702">
        <w:rPr>
          <w:rFonts w:ascii="Arial" w:hAnsi="Arial" w:cs="Arial"/>
        </w:rPr>
        <w:t>39 χιλιάδες</w:t>
      </w:r>
      <w:r w:rsidR="00745AA0" w:rsidRPr="00D66702">
        <w:rPr>
          <w:rFonts w:ascii="Arial" w:hAnsi="Arial" w:cs="Arial"/>
        </w:rPr>
        <w:t>.</w:t>
      </w:r>
      <w:r w:rsidR="00A00F2D" w:rsidRPr="00D66702">
        <w:rPr>
          <w:rFonts w:ascii="Arial" w:hAnsi="Arial" w:cs="Arial"/>
        </w:rPr>
        <w:t xml:space="preserve"> Οι συνολικοί συνδρομητές FTTH ανέρχονται σε 394 χιλιάδες, αντιπροσωπεύοντας το 16,8% των συνολικών ευρυζωνικών συνδέσεων. Παρόλο που η εν λόγω αύξηση αντιστοιχεί σε 6 ποσοστιαίες μονάδες σε σύγκριση με το προηγούμενο έτος, παραμένει αρκετός χώρος για μελλοντική ανάπτυξη.</w:t>
      </w:r>
      <w:r w:rsidR="0091307A" w:rsidRPr="00D66702">
        <w:rPr>
          <w:rFonts w:ascii="Arial" w:hAnsi="Arial" w:cs="Arial"/>
        </w:rPr>
        <w:t xml:space="preserve"> </w:t>
      </w:r>
      <w:r w:rsidRPr="00D66702">
        <w:rPr>
          <w:rFonts w:ascii="Arial" w:hAnsi="Arial" w:cs="Arial"/>
        </w:rPr>
        <w:t xml:space="preserve">To ποσοστό διείσδυσης </w:t>
      </w:r>
      <w:r w:rsidR="008B2ED1">
        <w:rPr>
          <w:rFonts w:ascii="Arial" w:hAnsi="Arial" w:cs="Arial"/>
        </w:rPr>
        <w:t>των πελατών ΟΤΕ</w:t>
      </w:r>
      <w:r w:rsidRPr="00D66702">
        <w:rPr>
          <w:rFonts w:ascii="Arial" w:hAnsi="Arial" w:cs="Arial"/>
        </w:rPr>
        <w:t xml:space="preserve"> </w:t>
      </w:r>
      <w:r w:rsidR="003D7B8C" w:rsidRPr="00D66702">
        <w:rPr>
          <w:rFonts w:ascii="Arial" w:hAnsi="Arial" w:cs="Arial"/>
        </w:rPr>
        <w:t xml:space="preserve">που έχουν πρόσβαση στην υποδομή </w:t>
      </w:r>
      <w:r w:rsidR="003D7B8C" w:rsidRPr="00D66702">
        <w:rPr>
          <w:rFonts w:ascii="Arial" w:hAnsi="Arial" w:cs="Arial"/>
        </w:rPr>
        <w:lastRenderedPageBreak/>
        <w:t>FTTH,</w:t>
      </w:r>
      <w:r w:rsidR="0091307A" w:rsidRPr="00D66702">
        <w:rPr>
          <w:rFonts w:ascii="Arial" w:hAnsi="Arial" w:cs="Arial"/>
        </w:rPr>
        <w:t xml:space="preserve"> </w:t>
      </w:r>
      <w:r w:rsidR="003D7B8C" w:rsidRPr="00D66702">
        <w:rPr>
          <w:rFonts w:ascii="Arial" w:hAnsi="Arial" w:cs="Arial"/>
        </w:rPr>
        <w:t xml:space="preserve">έχει ήδη ξεπεράσει το 40%, </w:t>
      </w:r>
      <w:r w:rsidRPr="00D66702">
        <w:rPr>
          <w:rFonts w:ascii="Arial" w:hAnsi="Arial" w:cs="Arial"/>
        </w:rPr>
        <w:t xml:space="preserve">επιβεβαιώνοντας </w:t>
      </w:r>
      <w:r w:rsidR="003D7B8C" w:rsidRPr="00D66702">
        <w:rPr>
          <w:rFonts w:ascii="Arial" w:hAnsi="Arial" w:cs="Arial"/>
        </w:rPr>
        <w:t>τη ζήτηση για υπηρεσίες</w:t>
      </w:r>
      <w:r w:rsidR="003B08D2" w:rsidRPr="00D66702">
        <w:rPr>
          <w:rFonts w:ascii="Arial" w:hAnsi="Arial" w:cs="Arial"/>
        </w:rPr>
        <w:t xml:space="preserve"> συνδεσιμότητας</w:t>
      </w:r>
      <w:r w:rsidR="003D7B8C" w:rsidRPr="00D66702">
        <w:rPr>
          <w:rFonts w:ascii="Arial" w:hAnsi="Arial" w:cs="Arial"/>
        </w:rPr>
        <w:t xml:space="preserve"> υψηλής ποιότητας.</w:t>
      </w:r>
    </w:p>
    <w:p w14:paraId="73D0087D" w14:textId="3CB3558D" w:rsidR="004E4F79" w:rsidRDefault="004E4F79" w:rsidP="00D66702">
      <w:pPr>
        <w:spacing w:line="280" w:lineRule="exact"/>
        <w:jc w:val="both"/>
        <w:rPr>
          <w:rFonts w:ascii="Arial" w:hAnsi="Arial" w:cs="Arial"/>
        </w:rPr>
      </w:pPr>
      <w:r w:rsidRPr="00C7005D">
        <w:rPr>
          <w:rFonts w:ascii="Arial" w:hAnsi="Arial" w:cs="Arial"/>
        </w:rPr>
        <w:t xml:space="preserve">Στο τέλος του 2024, η διείσδυση στις υποδομές </w:t>
      </w:r>
      <w:r w:rsidRPr="00D66702">
        <w:rPr>
          <w:rFonts w:ascii="Arial" w:hAnsi="Arial" w:cs="Arial"/>
          <w:lang w:val="en-US"/>
        </w:rPr>
        <w:t>FTTH</w:t>
      </w:r>
      <w:r w:rsidRPr="00C7005D">
        <w:rPr>
          <w:rFonts w:ascii="Arial" w:hAnsi="Arial" w:cs="Arial"/>
        </w:rPr>
        <w:t xml:space="preserve"> του ΟΤΕ (</w:t>
      </w:r>
      <w:r w:rsidR="002032C6" w:rsidRPr="00C7005D">
        <w:rPr>
          <w:rFonts w:ascii="Arial" w:hAnsi="Arial" w:cs="Arial"/>
        </w:rPr>
        <w:t xml:space="preserve">συνολικό </w:t>
      </w:r>
      <w:r w:rsidRPr="00C7005D">
        <w:rPr>
          <w:rFonts w:ascii="Arial" w:hAnsi="Arial" w:cs="Arial"/>
        </w:rPr>
        <w:t xml:space="preserve">ποσοστό </w:t>
      </w:r>
      <w:r w:rsidR="00C7005D">
        <w:rPr>
          <w:rFonts w:ascii="Arial" w:hAnsi="Arial" w:cs="Arial"/>
          <w:lang w:val="en-US"/>
        </w:rPr>
        <w:t>FTTH</w:t>
      </w:r>
      <w:r w:rsidR="00C7005D" w:rsidRPr="00C7005D">
        <w:rPr>
          <w:rFonts w:ascii="Arial" w:hAnsi="Arial" w:cs="Arial"/>
        </w:rPr>
        <w:t xml:space="preserve"> </w:t>
      </w:r>
      <w:r w:rsidRPr="00C7005D">
        <w:rPr>
          <w:rFonts w:ascii="Arial" w:hAnsi="Arial" w:cs="Arial"/>
        </w:rPr>
        <w:t>πελατών</w:t>
      </w:r>
      <w:r w:rsidR="002032C6" w:rsidRPr="00C7005D">
        <w:rPr>
          <w:rFonts w:ascii="Arial" w:hAnsi="Arial" w:cs="Arial"/>
        </w:rPr>
        <w:t xml:space="preserve"> αγοράς</w:t>
      </w:r>
      <w:r w:rsidRPr="00C7005D">
        <w:rPr>
          <w:rFonts w:ascii="Arial" w:hAnsi="Arial" w:cs="Arial"/>
        </w:rPr>
        <w:t xml:space="preserve"> επί των διαθέσιμων γραμμών </w:t>
      </w:r>
      <w:r w:rsidRPr="00D66702">
        <w:rPr>
          <w:rFonts w:ascii="Arial" w:hAnsi="Arial" w:cs="Arial"/>
          <w:lang w:val="en-US"/>
        </w:rPr>
        <w:t>OTE</w:t>
      </w:r>
      <w:r w:rsidRPr="00C7005D">
        <w:rPr>
          <w:rFonts w:ascii="Arial" w:hAnsi="Arial" w:cs="Arial"/>
        </w:rPr>
        <w:t xml:space="preserve">) ανήλθε σε 26,2%, αντανακλώντας ισχυρή αύξηση από 19,5% ένα χρόνο πριν. </w:t>
      </w:r>
      <w:r w:rsidR="00580130" w:rsidRPr="00C7005D">
        <w:rPr>
          <w:rFonts w:ascii="Arial" w:hAnsi="Arial" w:cs="Arial"/>
        </w:rPr>
        <w:t xml:space="preserve">Από το σύνολο των 394 χιλιάδων συνδρομητών </w:t>
      </w:r>
      <w:r w:rsidR="00580130" w:rsidRPr="00D66702">
        <w:rPr>
          <w:rFonts w:ascii="Arial" w:hAnsi="Arial" w:cs="Arial"/>
          <w:lang w:val="en-US"/>
        </w:rPr>
        <w:t>FTTH</w:t>
      </w:r>
      <w:r w:rsidR="00580130" w:rsidRPr="00C7005D">
        <w:rPr>
          <w:rFonts w:ascii="Arial" w:hAnsi="Arial" w:cs="Arial"/>
        </w:rPr>
        <w:t xml:space="preserve">, </w:t>
      </w:r>
      <w:r w:rsidR="00353B0F" w:rsidRPr="00C7005D">
        <w:rPr>
          <w:rFonts w:ascii="Arial" w:hAnsi="Arial" w:cs="Arial"/>
        </w:rPr>
        <w:t xml:space="preserve">το 85% χρησιμοποιούν την υποδομή του ΟΤΕ. Επιπλέον, το 41% των συνδρομητών </w:t>
      </w:r>
      <w:r w:rsidR="00353B0F" w:rsidRPr="00D66702">
        <w:rPr>
          <w:rFonts w:ascii="Arial" w:hAnsi="Arial" w:cs="Arial"/>
          <w:lang w:val="en-US"/>
        </w:rPr>
        <w:t>FTTH</w:t>
      </w:r>
      <w:r w:rsidR="00353B0F" w:rsidRPr="00C7005D">
        <w:rPr>
          <w:rFonts w:ascii="Arial" w:hAnsi="Arial" w:cs="Arial"/>
        </w:rPr>
        <w:t xml:space="preserve"> του ανταγωνισμού βασίζονται στις υποδομές του ΟΤΕ, συγκριτικά με 36% ένα χρόνο πριν, αύξηση </w:t>
      </w:r>
      <w:r w:rsidR="000E77EB" w:rsidRPr="00C7005D">
        <w:rPr>
          <w:rFonts w:ascii="Arial" w:hAnsi="Arial" w:cs="Arial"/>
        </w:rPr>
        <w:t>που</w:t>
      </w:r>
      <w:r w:rsidR="00353B0F" w:rsidRPr="00C7005D">
        <w:rPr>
          <w:rFonts w:ascii="Arial" w:hAnsi="Arial" w:cs="Arial"/>
        </w:rPr>
        <w:t xml:space="preserve"> οφείλεται στις πρόσφατες συμφωνίες εκπτώσεων όγκου στην αγορά χονδρικής </w:t>
      </w:r>
      <w:r w:rsidR="00353B0F" w:rsidRPr="00D66702">
        <w:rPr>
          <w:rFonts w:ascii="Arial" w:hAnsi="Arial" w:cs="Arial"/>
          <w:lang w:val="en-US"/>
        </w:rPr>
        <w:t>FTTH</w:t>
      </w:r>
      <w:r w:rsidR="00353B0F" w:rsidRPr="00C7005D">
        <w:rPr>
          <w:rFonts w:ascii="Arial" w:hAnsi="Arial" w:cs="Arial"/>
        </w:rPr>
        <w:t xml:space="preserve"> μεταξύ βασικών παρόχων της αγοράς</w:t>
      </w:r>
      <w:r w:rsidR="000E77EB" w:rsidRPr="00C7005D">
        <w:rPr>
          <w:rFonts w:ascii="Arial" w:hAnsi="Arial" w:cs="Arial"/>
        </w:rPr>
        <w:t xml:space="preserve">. </w:t>
      </w:r>
    </w:p>
    <w:p w14:paraId="2DB1CAD3" w14:textId="11EF8D0C" w:rsidR="00877FAB" w:rsidRPr="001D7A36" w:rsidRDefault="00E466F0" w:rsidP="00D66702">
      <w:pPr>
        <w:spacing w:line="280" w:lineRule="exact"/>
        <w:jc w:val="both"/>
        <w:rPr>
          <w:rFonts w:ascii="Arial" w:hAnsi="Arial" w:cs="Arial"/>
        </w:rPr>
      </w:pPr>
      <w:r w:rsidRPr="00C7005D">
        <w:rPr>
          <w:rFonts w:ascii="Arial" w:hAnsi="Arial" w:cs="Arial"/>
          <w:b/>
          <w:bCs/>
        </w:rPr>
        <w:t>Κουπόνι επιδότησης (</w:t>
      </w:r>
      <w:r w:rsidRPr="00D66702">
        <w:rPr>
          <w:rFonts w:ascii="Arial" w:hAnsi="Arial" w:cs="Arial"/>
          <w:b/>
          <w:bCs/>
          <w:lang w:val="en-US"/>
        </w:rPr>
        <w:t>Gigabit</w:t>
      </w:r>
      <w:r w:rsidRPr="00C7005D">
        <w:rPr>
          <w:rFonts w:ascii="Arial" w:hAnsi="Arial" w:cs="Arial"/>
          <w:b/>
          <w:bCs/>
        </w:rPr>
        <w:t xml:space="preserve"> </w:t>
      </w:r>
      <w:r w:rsidRPr="00D66702">
        <w:rPr>
          <w:rFonts w:ascii="Arial" w:hAnsi="Arial" w:cs="Arial"/>
          <w:b/>
          <w:bCs/>
          <w:lang w:val="en-US"/>
        </w:rPr>
        <w:t>Voucher</w:t>
      </w:r>
      <w:r w:rsidRPr="00C7005D">
        <w:rPr>
          <w:rFonts w:ascii="Arial" w:hAnsi="Arial" w:cs="Arial"/>
          <w:b/>
          <w:bCs/>
        </w:rPr>
        <w:t>)</w:t>
      </w:r>
      <w:r w:rsidRPr="00C7005D">
        <w:rPr>
          <w:rFonts w:ascii="Arial" w:hAnsi="Arial" w:cs="Arial"/>
        </w:rPr>
        <w:t xml:space="preserve">: </w:t>
      </w:r>
      <w:r w:rsidR="00D57EFA" w:rsidRPr="00C7005D">
        <w:rPr>
          <w:rFonts w:ascii="Arial" w:hAnsi="Arial" w:cs="Arial"/>
        </w:rPr>
        <w:t>Το</w:t>
      </w:r>
      <w:r w:rsidR="00216962" w:rsidRPr="00C7005D">
        <w:rPr>
          <w:rFonts w:ascii="Arial" w:hAnsi="Arial" w:cs="Arial"/>
        </w:rPr>
        <w:t xml:space="preserve"> κουπόνι επιδότησης </w:t>
      </w:r>
      <w:r w:rsidR="0096334E" w:rsidRPr="00C7005D">
        <w:rPr>
          <w:rFonts w:ascii="Arial" w:hAnsi="Arial" w:cs="Arial"/>
        </w:rPr>
        <w:t>(</w:t>
      </w:r>
      <w:r w:rsidR="0096334E" w:rsidRPr="00D66702">
        <w:rPr>
          <w:rFonts w:ascii="Arial" w:hAnsi="Arial" w:cs="Arial"/>
          <w:lang w:val="en-US"/>
        </w:rPr>
        <w:t>Gigabit</w:t>
      </w:r>
      <w:r w:rsidR="007179BC" w:rsidRPr="00C7005D">
        <w:rPr>
          <w:rFonts w:ascii="Arial" w:hAnsi="Arial" w:cs="Arial"/>
        </w:rPr>
        <w:t xml:space="preserve"> </w:t>
      </w:r>
      <w:r w:rsidR="007179BC" w:rsidRPr="00D66702">
        <w:rPr>
          <w:rFonts w:ascii="Arial" w:hAnsi="Arial" w:cs="Arial"/>
          <w:lang w:val="en-US"/>
        </w:rPr>
        <w:t>Voucher</w:t>
      </w:r>
      <w:r w:rsidR="0096334E" w:rsidRPr="00C7005D">
        <w:rPr>
          <w:rFonts w:ascii="Arial" w:hAnsi="Arial" w:cs="Arial"/>
        </w:rPr>
        <w:t xml:space="preserve">) </w:t>
      </w:r>
      <w:r w:rsidR="00216962" w:rsidRPr="00C7005D">
        <w:rPr>
          <w:rFonts w:ascii="Arial" w:hAnsi="Arial" w:cs="Arial"/>
        </w:rPr>
        <w:t xml:space="preserve">για σύνδεση οπτικών ινών </w:t>
      </w:r>
      <w:r w:rsidR="00475255" w:rsidRPr="00C7005D">
        <w:rPr>
          <w:rFonts w:ascii="Arial" w:hAnsi="Arial" w:cs="Arial"/>
        </w:rPr>
        <w:t>που</w:t>
      </w:r>
      <w:r w:rsidR="00216962" w:rsidRPr="00C7005D" w:rsidDel="00560D07">
        <w:rPr>
          <w:rFonts w:ascii="Arial" w:hAnsi="Arial" w:cs="Arial"/>
        </w:rPr>
        <w:t xml:space="preserve"> </w:t>
      </w:r>
      <w:r w:rsidR="00F20C6B" w:rsidRPr="00C7005D">
        <w:rPr>
          <w:rFonts w:ascii="Arial" w:hAnsi="Arial" w:cs="Arial"/>
        </w:rPr>
        <w:t xml:space="preserve">διατέθηκε </w:t>
      </w:r>
      <w:r w:rsidR="00D57EFA" w:rsidRPr="00C7005D">
        <w:rPr>
          <w:rFonts w:ascii="Arial" w:hAnsi="Arial" w:cs="Arial"/>
        </w:rPr>
        <w:t>στο τέλος του 2024</w:t>
      </w:r>
      <w:r w:rsidR="0096334E" w:rsidRPr="00C7005D">
        <w:rPr>
          <w:rFonts w:ascii="Arial" w:hAnsi="Arial" w:cs="Arial"/>
        </w:rPr>
        <w:t>,</w:t>
      </w:r>
      <w:r w:rsidR="00216962" w:rsidRPr="00C7005D">
        <w:rPr>
          <w:rFonts w:ascii="Arial" w:hAnsi="Arial" w:cs="Arial"/>
        </w:rPr>
        <w:t xml:space="preserve"> </w:t>
      </w:r>
      <w:r w:rsidR="00D57EFA" w:rsidRPr="00C7005D">
        <w:rPr>
          <w:rFonts w:ascii="Arial" w:hAnsi="Arial" w:cs="Arial"/>
        </w:rPr>
        <w:t>αναμένεται να</w:t>
      </w:r>
      <w:r w:rsidR="00216962" w:rsidRPr="00C7005D">
        <w:rPr>
          <w:rFonts w:ascii="Arial" w:hAnsi="Arial" w:cs="Arial"/>
        </w:rPr>
        <w:t xml:space="preserve"> </w:t>
      </w:r>
      <w:r w:rsidR="00F20C6B" w:rsidRPr="00C7005D">
        <w:rPr>
          <w:rFonts w:ascii="Arial" w:hAnsi="Arial" w:cs="Arial"/>
        </w:rPr>
        <w:t xml:space="preserve">δώσει </w:t>
      </w:r>
      <w:r w:rsidR="00216962" w:rsidRPr="00C7005D">
        <w:rPr>
          <w:rFonts w:ascii="Arial" w:hAnsi="Arial" w:cs="Arial"/>
        </w:rPr>
        <w:t xml:space="preserve">περαιτέρω </w:t>
      </w:r>
      <w:r w:rsidR="00F20C6B" w:rsidRPr="00C7005D">
        <w:rPr>
          <w:rFonts w:ascii="Arial" w:hAnsi="Arial" w:cs="Arial"/>
        </w:rPr>
        <w:t>ώθηση σ</w:t>
      </w:r>
      <w:r w:rsidR="00216962" w:rsidRPr="00C7005D">
        <w:rPr>
          <w:rFonts w:ascii="Arial" w:hAnsi="Arial" w:cs="Arial"/>
        </w:rPr>
        <w:t xml:space="preserve">την υιοθέτηση συνδέσεων </w:t>
      </w:r>
      <w:r w:rsidR="00216962" w:rsidRPr="00D66702">
        <w:rPr>
          <w:rFonts w:ascii="Arial" w:hAnsi="Arial" w:cs="Arial"/>
          <w:lang w:val="en-US"/>
        </w:rPr>
        <w:t>FTTH</w:t>
      </w:r>
      <w:r w:rsidR="00216962" w:rsidRPr="00C7005D">
        <w:rPr>
          <w:rFonts w:ascii="Arial" w:hAnsi="Arial" w:cs="Arial"/>
        </w:rPr>
        <w:t>.</w:t>
      </w:r>
      <w:r w:rsidR="00FC0140" w:rsidRPr="00C7005D">
        <w:rPr>
          <w:rFonts w:ascii="Arial" w:hAnsi="Arial" w:cs="Arial"/>
        </w:rPr>
        <w:t xml:space="preserve"> </w:t>
      </w:r>
      <w:r w:rsidR="0067581F" w:rsidRPr="00C7005D">
        <w:rPr>
          <w:rFonts w:ascii="Arial" w:hAnsi="Arial" w:cs="Arial"/>
        </w:rPr>
        <w:t xml:space="preserve">Το </w:t>
      </w:r>
      <w:r w:rsidR="00F97D6F" w:rsidRPr="00C7005D">
        <w:rPr>
          <w:rFonts w:ascii="Arial" w:hAnsi="Arial" w:cs="Arial"/>
        </w:rPr>
        <w:t xml:space="preserve">μέγιστο ποσό ανά κουπόνι είναι 200 ευρώ </w:t>
      </w:r>
      <w:r w:rsidR="0067581F" w:rsidRPr="00C7005D">
        <w:rPr>
          <w:rFonts w:ascii="Arial" w:hAnsi="Arial" w:cs="Arial"/>
        </w:rPr>
        <w:t>για ταχύτητες τουλάχιστον 250</w:t>
      </w:r>
      <w:r w:rsidR="0067581F" w:rsidRPr="00D66702">
        <w:rPr>
          <w:rFonts w:ascii="Arial" w:hAnsi="Arial" w:cs="Arial"/>
          <w:lang w:val="en-US"/>
        </w:rPr>
        <w:t>Mbps</w:t>
      </w:r>
      <w:r w:rsidR="00C5228F" w:rsidRPr="00C7005D">
        <w:rPr>
          <w:rFonts w:ascii="Arial" w:hAnsi="Arial" w:cs="Arial"/>
        </w:rPr>
        <w:t>,</w:t>
      </w:r>
      <w:r w:rsidR="00F97D6F" w:rsidRPr="00C7005D">
        <w:rPr>
          <w:rFonts w:ascii="Arial" w:hAnsi="Arial" w:cs="Arial"/>
        </w:rPr>
        <w:t xml:space="preserve"> </w:t>
      </w:r>
      <w:r w:rsidR="007C77EC" w:rsidRPr="00C7005D">
        <w:rPr>
          <w:rFonts w:ascii="Arial" w:hAnsi="Arial" w:cs="Arial"/>
        </w:rPr>
        <w:t>με</w:t>
      </w:r>
      <w:r w:rsidR="00F97D6F" w:rsidRPr="00C7005D">
        <w:rPr>
          <w:rFonts w:ascii="Arial" w:hAnsi="Arial" w:cs="Arial"/>
        </w:rPr>
        <w:t xml:space="preserve"> 24μηνη διάρκεια</w:t>
      </w:r>
      <w:r w:rsidR="00C5228F" w:rsidRPr="00C7005D">
        <w:rPr>
          <w:rFonts w:ascii="Arial" w:hAnsi="Arial" w:cs="Arial"/>
        </w:rPr>
        <w:t xml:space="preserve"> και</w:t>
      </w:r>
      <w:r w:rsidR="00F97D6F" w:rsidRPr="00C7005D">
        <w:rPr>
          <w:rFonts w:ascii="Arial" w:hAnsi="Arial" w:cs="Arial"/>
        </w:rPr>
        <w:t xml:space="preserve"> </w:t>
      </w:r>
      <w:r w:rsidR="0067581F" w:rsidRPr="00C7005D">
        <w:rPr>
          <w:rFonts w:ascii="Arial" w:hAnsi="Arial" w:cs="Arial"/>
        </w:rPr>
        <w:t>υλοποι</w:t>
      </w:r>
      <w:r w:rsidR="00F20C6B" w:rsidRPr="00C7005D">
        <w:rPr>
          <w:rFonts w:ascii="Arial" w:hAnsi="Arial" w:cs="Arial"/>
        </w:rPr>
        <w:t>είται</w:t>
      </w:r>
      <w:r w:rsidR="0067581F" w:rsidRPr="00C7005D">
        <w:rPr>
          <w:rFonts w:ascii="Arial" w:hAnsi="Arial" w:cs="Arial"/>
        </w:rPr>
        <w:t xml:space="preserve"> σε τέσσερα στάδια</w:t>
      </w:r>
      <w:r w:rsidR="00C5228F" w:rsidRPr="00C7005D">
        <w:rPr>
          <w:rFonts w:ascii="Arial" w:hAnsi="Arial" w:cs="Arial"/>
        </w:rPr>
        <w:t>,</w:t>
      </w:r>
      <w:r w:rsidR="0067581F" w:rsidRPr="00C7005D">
        <w:rPr>
          <w:rFonts w:ascii="Arial" w:hAnsi="Arial" w:cs="Arial"/>
        </w:rPr>
        <w:t xml:space="preserve"> </w:t>
      </w:r>
      <w:r w:rsidR="004D5363" w:rsidRPr="00C7005D">
        <w:rPr>
          <w:rFonts w:ascii="Arial" w:hAnsi="Arial" w:cs="Arial"/>
        </w:rPr>
        <w:t xml:space="preserve">παράλληλα με το κουπόνι </w:t>
      </w:r>
      <w:r w:rsidR="0067581F" w:rsidRPr="00C7005D">
        <w:rPr>
          <w:rFonts w:ascii="Arial" w:hAnsi="Arial" w:cs="Arial"/>
        </w:rPr>
        <w:t>επιδότηση</w:t>
      </w:r>
      <w:r w:rsidR="004D5363" w:rsidRPr="00C7005D">
        <w:rPr>
          <w:rFonts w:ascii="Arial" w:hAnsi="Arial" w:cs="Arial"/>
        </w:rPr>
        <w:t>ς</w:t>
      </w:r>
      <w:r w:rsidR="0067581F" w:rsidRPr="00C7005D">
        <w:rPr>
          <w:rFonts w:ascii="Arial" w:hAnsi="Arial" w:cs="Arial"/>
        </w:rPr>
        <w:t xml:space="preserve"> για σύνδεση εντός κτιρίου</w:t>
      </w:r>
      <w:r w:rsidR="004D5363" w:rsidRPr="00C7005D">
        <w:rPr>
          <w:rFonts w:ascii="Arial" w:hAnsi="Arial" w:cs="Arial"/>
        </w:rPr>
        <w:t xml:space="preserve"> (</w:t>
      </w:r>
      <w:r w:rsidR="004D5363" w:rsidRPr="00D66702">
        <w:rPr>
          <w:rFonts w:ascii="Arial" w:hAnsi="Arial" w:cs="Arial"/>
          <w:lang w:val="en-US"/>
        </w:rPr>
        <w:t>Smart</w:t>
      </w:r>
      <w:r w:rsidR="004D5363" w:rsidRPr="00C7005D">
        <w:rPr>
          <w:rFonts w:ascii="Arial" w:hAnsi="Arial" w:cs="Arial"/>
        </w:rPr>
        <w:t xml:space="preserve"> </w:t>
      </w:r>
      <w:r w:rsidR="004D5363" w:rsidRPr="00D66702">
        <w:rPr>
          <w:rFonts w:ascii="Arial" w:hAnsi="Arial" w:cs="Arial"/>
          <w:lang w:val="en-US"/>
        </w:rPr>
        <w:t>Readiness</w:t>
      </w:r>
      <w:r w:rsidR="004D5363" w:rsidRPr="00C7005D">
        <w:rPr>
          <w:rFonts w:ascii="Arial" w:hAnsi="Arial" w:cs="Arial"/>
        </w:rPr>
        <w:t>)</w:t>
      </w:r>
      <w:r w:rsidR="0067581F" w:rsidRPr="00C7005D">
        <w:rPr>
          <w:rFonts w:ascii="Arial" w:hAnsi="Arial" w:cs="Arial"/>
        </w:rPr>
        <w:t xml:space="preserve">. </w:t>
      </w:r>
      <w:r w:rsidR="00626CDB" w:rsidRPr="00C7005D">
        <w:rPr>
          <w:rFonts w:ascii="Arial" w:hAnsi="Arial" w:cs="Arial"/>
        </w:rPr>
        <w:t xml:space="preserve">Αυτά τα προγράμματα επιδοτήσεων </w:t>
      </w:r>
      <w:r w:rsidR="00F20C6B" w:rsidRPr="00C7005D">
        <w:rPr>
          <w:rFonts w:ascii="Arial" w:hAnsi="Arial" w:cs="Arial"/>
        </w:rPr>
        <w:t>αναμένεται να αυξήσουν την</w:t>
      </w:r>
      <w:r w:rsidR="00626CDB" w:rsidRPr="00C7005D">
        <w:rPr>
          <w:rFonts w:ascii="Arial" w:hAnsi="Arial" w:cs="Arial"/>
        </w:rPr>
        <w:t xml:space="preserve"> διείσδυση</w:t>
      </w:r>
      <w:r w:rsidR="00F20C6B" w:rsidRPr="00C7005D">
        <w:rPr>
          <w:rFonts w:ascii="Arial" w:hAnsi="Arial" w:cs="Arial"/>
        </w:rPr>
        <w:t xml:space="preserve"> της οπτικής ίνας</w:t>
      </w:r>
      <w:r w:rsidR="00626CDB" w:rsidRPr="00C7005D">
        <w:rPr>
          <w:rFonts w:ascii="Arial" w:hAnsi="Arial" w:cs="Arial"/>
        </w:rPr>
        <w:t xml:space="preserve"> και</w:t>
      </w:r>
      <w:r w:rsidR="00F20C6B" w:rsidRPr="00C7005D">
        <w:rPr>
          <w:rFonts w:ascii="Arial" w:hAnsi="Arial" w:cs="Arial"/>
        </w:rPr>
        <w:t xml:space="preserve"> να συμβάλλουν στην </w:t>
      </w:r>
      <w:r w:rsidR="00626CDB" w:rsidRPr="00C7005D">
        <w:rPr>
          <w:rFonts w:ascii="Arial" w:hAnsi="Arial" w:cs="Arial"/>
        </w:rPr>
        <w:t xml:space="preserve">αξιοποίηση της υποδομής του ΟΤΕ. </w:t>
      </w:r>
      <w:r w:rsidR="00201631" w:rsidRPr="00C7005D">
        <w:rPr>
          <w:rFonts w:ascii="Arial" w:hAnsi="Arial" w:cs="Arial"/>
        </w:rPr>
        <w:t xml:space="preserve">Η βελτιωμένη εμπειρία πελάτη από τις υπηρεσίες </w:t>
      </w:r>
      <w:r w:rsidR="00201631" w:rsidRPr="00D66702">
        <w:rPr>
          <w:rFonts w:ascii="Arial" w:hAnsi="Arial" w:cs="Arial"/>
          <w:lang w:val="en-US"/>
        </w:rPr>
        <w:t>FTTH</w:t>
      </w:r>
      <w:r w:rsidR="00201631" w:rsidRPr="00C7005D">
        <w:rPr>
          <w:rFonts w:ascii="Arial" w:hAnsi="Arial" w:cs="Arial"/>
        </w:rPr>
        <w:t xml:space="preserve">, η </w:t>
      </w:r>
      <w:r w:rsidR="002568A5" w:rsidRPr="00C7005D">
        <w:rPr>
          <w:rFonts w:ascii="Arial" w:hAnsi="Arial" w:cs="Arial"/>
        </w:rPr>
        <w:t xml:space="preserve">μικρότερη απώλεια πελατών, καθώς και το χαμηλότερο λειτουργικό κόστος του δικτύου </w:t>
      </w:r>
      <w:r w:rsidR="002568A5" w:rsidRPr="00D66702">
        <w:rPr>
          <w:rFonts w:ascii="Arial" w:hAnsi="Arial" w:cs="Arial"/>
          <w:lang w:val="en-US"/>
        </w:rPr>
        <w:t>FTTH</w:t>
      </w:r>
      <w:r w:rsidR="002568A5" w:rsidRPr="00C7005D">
        <w:rPr>
          <w:rFonts w:ascii="Arial" w:hAnsi="Arial" w:cs="Arial"/>
        </w:rPr>
        <w:t xml:space="preserve">, καθιστούν </w:t>
      </w:r>
      <w:r w:rsidR="00A301D6" w:rsidRPr="00C7005D">
        <w:rPr>
          <w:rFonts w:ascii="Arial" w:hAnsi="Arial" w:cs="Arial"/>
        </w:rPr>
        <w:t xml:space="preserve">σημαντική </w:t>
      </w:r>
      <w:r w:rsidR="002568A5" w:rsidRPr="00C7005D">
        <w:rPr>
          <w:rFonts w:ascii="Arial" w:hAnsi="Arial" w:cs="Arial"/>
        </w:rPr>
        <w:t xml:space="preserve">την επέκταση της </w:t>
      </w:r>
      <w:r w:rsidR="00A301D6" w:rsidRPr="00C7005D">
        <w:rPr>
          <w:rFonts w:ascii="Arial" w:hAnsi="Arial" w:cs="Arial"/>
        </w:rPr>
        <w:t xml:space="preserve">πελατειακής </w:t>
      </w:r>
      <w:r w:rsidR="002568A5" w:rsidRPr="00C7005D">
        <w:rPr>
          <w:rFonts w:ascii="Arial" w:hAnsi="Arial" w:cs="Arial"/>
        </w:rPr>
        <w:t xml:space="preserve">βάσης </w:t>
      </w:r>
      <w:r w:rsidR="002568A5" w:rsidRPr="00D66702">
        <w:rPr>
          <w:rFonts w:ascii="Arial" w:hAnsi="Arial" w:cs="Arial"/>
          <w:lang w:val="en-US"/>
        </w:rPr>
        <w:t>FTTH</w:t>
      </w:r>
      <w:r w:rsidR="002568A5" w:rsidRPr="00C7005D">
        <w:rPr>
          <w:rFonts w:ascii="Arial" w:hAnsi="Arial" w:cs="Arial"/>
        </w:rPr>
        <w:t>, θέτοντας τα θεμέλια για συνεχή ανάπτυξη.</w:t>
      </w:r>
      <w:r w:rsidR="00BC1E31" w:rsidRPr="00C7005D">
        <w:rPr>
          <w:rFonts w:ascii="Arial" w:hAnsi="Arial" w:cs="Arial"/>
        </w:rPr>
        <w:t xml:space="preserve"> </w:t>
      </w:r>
    </w:p>
    <w:p w14:paraId="78113A70" w14:textId="25E78904" w:rsidR="00164BA2" w:rsidRPr="001D7A36" w:rsidRDefault="00382F70" w:rsidP="00164BA2">
      <w:pPr>
        <w:spacing w:line="280" w:lineRule="exact"/>
        <w:jc w:val="both"/>
        <w:rPr>
          <w:rFonts w:ascii="Arial" w:hAnsi="Arial" w:cs="Arial"/>
        </w:rPr>
      </w:pPr>
      <w:r w:rsidRPr="00C7005D">
        <w:rPr>
          <w:rFonts w:ascii="Arial" w:hAnsi="Arial" w:cs="Arial"/>
          <w:b/>
          <w:bCs/>
        </w:rPr>
        <w:t xml:space="preserve">Τεχνολογία </w:t>
      </w:r>
      <w:r w:rsidR="00C33660" w:rsidRPr="00D66702">
        <w:rPr>
          <w:rFonts w:ascii="Arial" w:hAnsi="Arial" w:cs="Arial"/>
          <w:b/>
          <w:bCs/>
          <w:lang w:val="en-US"/>
        </w:rPr>
        <w:t>Fixed</w:t>
      </w:r>
      <w:r w:rsidR="00C33660" w:rsidRPr="00C7005D">
        <w:rPr>
          <w:rFonts w:ascii="Arial" w:hAnsi="Arial" w:cs="Arial"/>
          <w:b/>
          <w:bCs/>
        </w:rPr>
        <w:t xml:space="preserve"> </w:t>
      </w:r>
      <w:r w:rsidR="00C33660" w:rsidRPr="00D66702">
        <w:rPr>
          <w:rFonts w:ascii="Arial" w:hAnsi="Arial" w:cs="Arial"/>
          <w:b/>
          <w:bCs/>
          <w:lang w:val="en-US"/>
        </w:rPr>
        <w:t>Wireless</w:t>
      </w:r>
      <w:r w:rsidR="00C33660" w:rsidRPr="00C7005D">
        <w:rPr>
          <w:rFonts w:ascii="Arial" w:hAnsi="Arial" w:cs="Arial"/>
          <w:b/>
          <w:bCs/>
        </w:rPr>
        <w:t xml:space="preserve"> </w:t>
      </w:r>
      <w:r w:rsidR="00C33660" w:rsidRPr="00D66702">
        <w:rPr>
          <w:rFonts w:ascii="Arial" w:hAnsi="Arial" w:cs="Arial"/>
          <w:b/>
          <w:bCs/>
          <w:lang w:val="en-US"/>
        </w:rPr>
        <w:t>Access</w:t>
      </w:r>
      <w:r w:rsidR="00B72D4E" w:rsidRPr="00C7005D">
        <w:rPr>
          <w:rFonts w:ascii="Arial" w:hAnsi="Arial" w:cs="Arial"/>
          <w:b/>
          <w:bCs/>
        </w:rPr>
        <w:t xml:space="preserve"> </w:t>
      </w:r>
      <w:r w:rsidR="00C33660" w:rsidRPr="00C7005D">
        <w:rPr>
          <w:rFonts w:ascii="Arial" w:hAnsi="Arial" w:cs="Arial"/>
          <w:b/>
          <w:bCs/>
        </w:rPr>
        <w:t>(</w:t>
      </w:r>
      <w:r w:rsidR="00C33660" w:rsidRPr="00D66702">
        <w:rPr>
          <w:rFonts w:ascii="Arial" w:hAnsi="Arial" w:cs="Arial"/>
          <w:b/>
          <w:bCs/>
          <w:lang w:val="en-US"/>
        </w:rPr>
        <w:t>FWA</w:t>
      </w:r>
      <w:r w:rsidR="00C33660" w:rsidRPr="00C7005D">
        <w:rPr>
          <w:rFonts w:ascii="Arial" w:hAnsi="Arial" w:cs="Arial"/>
          <w:b/>
          <w:bCs/>
        </w:rPr>
        <w:t>):</w:t>
      </w:r>
      <w:r w:rsidR="00C33660" w:rsidRPr="00C7005D">
        <w:rPr>
          <w:rFonts w:ascii="Arial" w:hAnsi="Arial" w:cs="Arial"/>
        </w:rPr>
        <w:t xml:space="preserve"> </w:t>
      </w:r>
      <w:r w:rsidR="00D5206D" w:rsidRPr="00C7005D">
        <w:rPr>
          <w:rFonts w:ascii="Arial" w:hAnsi="Arial" w:cs="Arial"/>
        </w:rPr>
        <w:t>Στην αγορά ευρυζωνικών υπηρεσιών σταθερής</w:t>
      </w:r>
      <w:r w:rsidR="002340BD" w:rsidRPr="00C7005D">
        <w:rPr>
          <w:rFonts w:ascii="Arial" w:hAnsi="Arial" w:cs="Arial"/>
        </w:rPr>
        <w:t>,</w:t>
      </w:r>
      <w:r w:rsidR="00C33660" w:rsidRPr="00D66702">
        <w:rPr>
          <w:rFonts w:ascii="Arial" w:hAnsi="Arial" w:cs="Arial"/>
          <w:lang w:val="en-US"/>
        </w:rPr>
        <w:t> </w:t>
      </w:r>
      <w:r w:rsidR="00170A79" w:rsidRPr="00C7005D">
        <w:rPr>
          <w:rFonts w:ascii="Arial" w:hAnsi="Arial" w:cs="Arial"/>
        </w:rPr>
        <w:t>ιδίως σε</w:t>
      </w:r>
      <w:r w:rsidR="007C161B" w:rsidRPr="00C7005D">
        <w:rPr>
          <w:rFonts w:ascii="Arial" w:hAnsi="Arial" w:cs="Arial"/>
        </w:rPr>
        <w:t xml:space="preserve"> περιοχές όπου η υποδομή των οπτικών ινών δεν είναι ακόμα διαθέσιμη, η εταιρεία έχει αντιμετωπίσει αρκετές προκλήσεις. Για να ανταποκριθεί αποτελεσματικά, </w:t>
      </w:r>
      <w:r w:rsidR="00225C88" w:rsidRPr="00C7005D">
        <w:rPr>
          <w:rFonts w:ascii="Arial" w:hAnsi="Arial" w:cs="Arial"/>
        </w:rPr>
        <w:t xml:space="preserve">στις αρχές του 2025, ο ΟΤΕ έγινε </w:t>
      </w:r>
      <w:r w:rsidR="00164BA2" w:rsidRPr="00C7005D">
        <w:rPr>
          <w:rFonts w:ascii="Arial" w:hAnsi="Arial" w:cs="Arial"/>
        </w:rPr>
        <w:t xml:space="preserve">ο </w:t>
      </w:r>
      <w:r w:rsidR="00225C88" w:rsidRPr="00C7005D">
        <w:rPr>
          <w:rFonts w:ascii="Arial" w:hAnsi="Arial" w:cs="Arial"/>
        </w:rPr>
        <w:t xml:space="preserve">πρώτος πάροχος που λάνσαρε </w:t>
      </w:r>
      <w:r w:rsidR="00164BA2" w:rsidRPr="00C7005D">
        <w:rPr>
          <w:rFonts w:ascii="Arial" w:hAnsi="Arial" w:cs="Arial"/>
        </w:rPr>
        <w:t>υπηρεσίες</w:t>
      </w:r>
      <w:r w:rsidR="00225C88" w:rsidRPr="00C7005D">
        <w:rPr>
          <w:rFonts w:ascii="Arial" w:hAnsi="Arial" w:cs="Arial"/>
        </w:rPr>
        <w:t xml:space="preserve"> </w:t>
      </w:r>
      <w:r w:rsidR="00225C88" w:rsidRPr="00D66702">
        <w:rPr>
          <w:rFonts w:ascii="Arial" w:hAnsi="Arial" w:cs="Arial"/>
          <w:lang w:val="en-US"/>
        </w:rPr>
        <w:t>FWA</w:t>
      </w:r>
      <w:r w:rsidR="00225C88" w:rsidRPr="00C7005D">
        <w:rPr>
          <w:rFonts w:ascii="Arial" w:hAnsi="Arial" w:cs="Arial"/>
        </w:rPr>
        <w:t xml:space="preserve"> </w:t>
      </w:r>
      <w:r w:rsidR="00164BA2" w:rsidRPr="00C7005D">
        <w:rPr>
          <w:rFonts w:ascii="Arial" w:hAnsi="Arial" w:cs="Arial"/>
        </w:rPr>
        <w:t xml:space="preserve">(το </w:t>
      </w:r>
      <w:r w:rsidR="00164BA2" w:rsidRPr="00D66702">
        <w:rPr>
          <w:rFonts w:ascii="Arial" w:hAnsi="Arial" w:cs="Arial"/>
          <w:lang w:val="en-US"/>
        </w:rPr>
        <w:t>COSMOTE</w:t>
      </w:r>
      <w:r w:rsidR="00164BA2" w:rsidRPr="00C7005D">
        <w:rPr>
          <w:rFonts w:ascii="Arial" w:hAnsi="Arial" w:cs="Arial"/>
        </w:rPr>
        <w:t xml:space="preserve"> 5</w:t>
      </w:r>
      <w:r w:rsidR="00164BA2" w:rsidRPr="00D66702">
        <w:rPr>
          <w:rFonts w:ascii="Arial" w:hAnsi="Arial" w:cs="Arial"/>
          <w:lang w:val="en-US"/>
        </w:rPr>
        <w:t>G</w:t>
      </w:r>
      <w:r w:rsidR="00164BA2" w:rsidRPr="00C7005D">
        <w:rPr>
          <w:rFonts w:ascii="Arial" w:hAnsi="Arial" w:cs="Arial"/>
        </w:rPr>
        <w:t xml:space="preserve"> </w:t>
      </w:r>
      <w:r w:rsidR="00164BA2" w:rsidRPr="00D66702">
        <w:rPr>
          <w:rFonts w:ascii="Arial" w:hAnsi="Arial" w:cs="Arial"/>
          <w:lang w:val="en-US"/>
        </w:rPr>
        <w:t>WiFi</w:t>
      </w:r>
      <w:r w:rsidR="00164BA2" w:rsidRPr="00C7005D">
        <w:rPr>
          <w:rFonts w:ascii="Arial" w:hAnsi="Arial" w:cs="Arial"/>
        </w:rPr>
        <w:t xml:space="preserve">) </w:t>
      </w:r>
      <w:r w:rsidR="00225C88" w:rsidRPr="00C7005D">
        <w:rPr>
          <w:rFonts w:ascii="Arial" w:hAnsi="Arial" w:cs="Arial"/>
        </w:rPr>
        <w:t xml:space="preserve">αξιοποιώντας </w:t>
      </w:r>
      <w:r w:rsidR="00164BA2" w:rsidRPr="00C7005D">
        <w:rPr>
          <w:rFonts w:ascii="Arial" w:hAnsi="Arial" w:cs="Arial"/>
        </w:rPr>
        <w:t xml:space="preserve">την προηγμένη τεχνολογική δυνατότητα του </w:t>
      </w:r>
      <w:r w:rsidR="00164BA2" w:rsidRPr="00D66702">
        <w:rPr>
          <w:rFonts w:ascii="Arial" w:hAnsi="Arial" w:cs="Arial"/>
          <w:lang w:val="en-US"/>
        </w:rPr>
        <w:t>Network</w:t>
      </w:r>
      <w:r w:rsidR="00164BA2" w:rsidRPr="00C7005D">
        <w:rPr>
          <w:rFonts w:ascii="Arial" w:hAnsi="Arial" w:cs="Arial"/>
        </w:rPr>
        <w:t xml:space="preserve"> </w:t>
      </w:r>
      <w:r w:rsidR="00164BA2" w:rsidRPr="00D66702">
        <w:rPr>
          <w:rFonts w:ascii="Arial" w:hAnsi="Arial" w:cs="Arial"/>
          <w:lang w:val="en-US"/>
        </w:rPr>
        <w:t>Slicing</w:t>
      </w:r>
      <w:r w:rsidR="00164BA2" w:rsidRPr="00C7005D">
        <w:rPr>
          <w:rFonts w:ascii="Arial" w:hAnsi="Arial" w:cs="Arial"/>
        </w:rPr>
        <w:t xml:space="preserve"> που παρέχει το δίκτυο </w:t>
      </w:r>
      <w:r w:rsidR="00225C88" w:rsidRPr="00C7005D">
        <w:rPr>
          <w:rFonts w:ascii="Arial" w:hAnsi="Arial" w:cs="Arial"/>
        </w:rPr>
        <w:t>5</w:t>
      </w:r>
      <w:r w:rsidR="00225C88" w:rsidRPr="00D66702">
        <w:rPr>
          <w:rFonts w:ascii="Arial" w:hAnsi="Arial" w:cs="Arial"/>
          <w:lang w:val="en-US"/>
        </w:rPr>
        <w:t>G</w:t>
      </w:r>
      <w:r w:rsidR="00225C88" w:rsidRPr="00C7005D">
        <w:rPr>
          <w:rFonts w:ascii="Arial" w:hAnsi="Arial" w:cs="Arial"/>
        </w:rPr>
        <w:t xml:space="preserve"> </w:t>
      </w:r>
      <w:r w:rsidR="00164BA2" w:rsidRPr="00D66702">
        <w:rPr>
          <w:rFonts w:ascii="Arial" w:hAnsi="Arial" w:cs="Arial"/>
          <w:lang w:val="en-US"/>
        </w:rPr>
        <w:t>S</w:t>
      </w:r>
      <w:r w:rsidR="009E77D2" w:rsidRPr="00D66702">
        <w:rPr>
          <w:rFonts w:ascii="Arial" w:hAnsi="Arial" w:cs="Arial"/>
          <w:lang w:val="en-US"/>
        </w:rPr>
        <w:t>tand</w:t>
      </w:r>
      <w:r w:rsidR="009E77D2" w:rsidRPr="00C7005D">
        <w:rPr>
          <w:rFonts w:ascii="Arial" w:hAnsi="Arial" w:cs="Arial"/>
        </w:rPr>
        <w:t xml:space="preserve"> </w:t>
      </w:r>
      <w:r w:rsidR="00164BA2" w:rsidRPr="00D66702">
        <w:rPr>
          <w:rFonts w:ascii="Arial" w:hAnsi="Arial" w:cs="Arial"/>
          <w:lang w:val="en-US"/>
        </w:rPr>
        <w:t>A</w:t>
      </w:r>
      <w:r w:rsidR="009E77D2" w:rsidRPr="00D66702">
        <w:rPr>
          <w:rFonts w:ascii="Arial" w:hAnsi="Arial" w:cs="Arial"/>
          <w:lang w:val="en-US"/>
        </w:rPr>
        <w:t>lone</w:t>
      </w:r>
      <w:r w:rsidR="009E77D2" w:rsidRPr="00C7005D">
        <w:rPr>
          <w:rFonts w:ascii="Arial" w:hAnsi="Arial" w:cs="Arial"/>
        </w:rPr>
        <w:t xml:space="preserve"> (</w:t>
      </w:r>
      <w:r w:rsidR="009E77D2" w:rsidRPr="00D66702">
        <w:rPr>
          <w:rFonts w:ascii="Arial" w:hAnsi="Arial" w:cs="Arial"/>
          <w:lang w:val="en-US"/>
        </w:rPr>
        <w:t>SA</w:t>
      </w:r>
      <w:r w:rsidR="009E77D2" w:rsidRPr="00C7005D">
        <w:rPr>
          <w:rFonts w:ascii="Arial" w:hAnsi="Arial" w:cs="Arial"/>
        </w:rPr>
        <w:t>)</w:t>
      </w:r>
      <w:r w:rsidR="00164BA2" w:rsidRPr="00C7005D">
        <w:rPr>
          <w:rFonts w:ascii="Arial" w:hAnsi="Arial" w:cs="Arial"/>
        </w:rPr>
        <w:t xml:space="preserve">. </w:t>
      </w:r>
    </w:p>
    <w:p w14:paraId="327E7994" w14:textId="3B71BC92" w:rsidR="00F30F76" w:rsidRPr="001D7A36" w:rsidRDefault="00265B28" w:rsidP="00D66702">
      <w:pPr>
        <w:spacing w:line="280" w:lineRule="exact"/>
        <w:jc w:val="both"/>
        <w:rPr>
          <w:rFonts w:ascii="Arial" w:hAnsi="Arial" w:cs="Arial"/>
        </w:rPr>
      </w:pPr>
      <w:r w:rsidRPr="00C7005D">
        <w:rPr>
          <w:rFonts w:ascii="Arial" w:hAnsi="Arial" w:cs="Arial"/>
          <w:b/>
          <w:bCs/>
        </w:rPr>
        <w:t>Υπηρεσίες Τηλεόρασης:</w:t>
      </w:r>
      <w:r w:rsidRPr="00C7005D">
        <w:rPr>
          <w:rFonts w:ascii="Arial" w:hAnsi="Arial" w:cs="Arial"/>
        </w:rPr>
        <w:t xml:space="preserve"> </w:t>
      </w:r>
      <w:r w:rsidR="006C244E" w:rsidRPr="00C7005D">
        <w:rPr>
          <w:rFonts w:ascii="Arial" w:hAnsi="Arial" w:cs="Arial"/>
        </w:rPr>
        <w:t xml:space="preserve">Το </w:t>
      </w:r>
      <w:r w:rsidR="00EE27D6" w:rsidRPr="00C7005D">
        <w:rPr>
          <w:rFonts w:ascii="Arial" w:hAnsi="Arial" w:cs="Arial"/>
        </w:rPr>
        <w:t>Δ</w:t>
      </w:r>
      <w:r w:rsidR="00283F6C" w:rsidRPr="00C7005D">
        <w:rPr>
          <w:rFonts w:ascii="Arial" w:hAnsi="Arial" w:cs="Arial"/>
        </w:rPr>
        <w:t>’ τρίμηνο του 2024</w:t>
      </w:r>
      <w:r w:rsidR="006C244E" w:rsidRPr="00C7005D">
        <w:rPr>
          <w:rFonts w:ascii="Arial" w:hAnsi="Arial" w:cs="Arial"/>
        </w:rPr>
        <w:t xml:space="preserve">, </w:t>
      </w:r>
      <w:r w:rsidR="00915A3A" w:rsidRPr="00C7005D">
        <w:rPr>
          <w:rFonts w:ascii="Arial" w:hAnsi="Arial" w:cs="Arial"/>
        </w:rPr>
        <w:t xml:space="preserve">οι </w:t>
      </w:r>
      <w:r w:rsidR="00517CB5" w:rsidRPr="00C7005D">
        <w:rPr>
          <w:rFonts w:ascii="Arial" w:hAnsi="Arial" w:cs="Arial"/>
        </w:rPr>
        <w:t>συνδρομητές τηλεόρασης του ΟΤΕ</w:t>
      </w:r>
      <w:r w:rsidR="00915A3A" w:rsidRPr="00C7005D">
        <w:rPr>
          <w:rFonts w:ascii="Arial" w:hAnsi="Arial" w:cs="Arial"/>
        </w:rPr>
        <w:t xml:space="preserve"> ανήλθαν σ</w:t>
      </w:r>
      <w:r w:rsidR="00C012BB" w:rsidRPr="00C7005D">
        <w:rPr>
          <w:rFonts w:ascii="Arial" w:hAnsi="Arial" w:cs="Arial"/>
        </w:rPr>
        <w:t>ε</w:t>
      </w:r>
      <w:r w:rsidR="00915A3A" w:rsidRPr="00C7005D">
        <w:rPr>
          <w:rFonts w:ascii="Arial" w:hAnsi="Arial" w:cs="Arial"/>
        </w:rPr>
        <w:t xml:space="preserve"> </w:t>
      </w:r>
      <w:r w:rsidR="008E652B" w:rsidRPr="00C7005D">
        <w:rPr>
          <w:rFonts w:ascii="Arial" w:hAnsi="Arial" w:cs="Arial"/>
        </w:rPr>
        <w:t>7</w:t>
      </w:r>
      <w:r w:rsidR="00EE27D6" w:rsidRPr="00C7005D">
        <w:rPr>
          <w:rFonts w:ascii="Arial" w:hAnsi="Arial" w:cs="Arial"/>
        </w:rPr>
        <w:t>26</w:t>
      </w:r>
      <w:r w:rsidR="00915A3A" w:rsidRPr="00C7005D">
        <w:rPr>
          <w:rFonts w:ascii="Arial" w:hAnsi="Arial" w:cs="Arial"/>
        </w:rPr>
        <w:t xml:space="preserve"> χιλιάδες</w:t>
      </w:r>
      <w:r w:rsidR="006C244E" w:rsidRPr="00C7005D">
        <w:rPr>
          <w:rFonts w:ascii="Arial" w:hAnsi="Arial" w:cs="Arial"/>
        </w:rPr>
        <w:t xml:space="preserve">, καταγράφοντας αύξηση </w:t>
      </w:r>
      <w:r w:rsidR="008E652B" w:rsidRPr="00C7005D">
        <w:rPr>
          <w:rFonts w:ascii="Arial" w:hAnsi="Arial" w:cs="Arial"/>
        </w:rPr>
        <w:t>7</w:t>
      </w:r>
      <w:r w:rsidR="00EE27D6" w:rsidRPr="00C7005D">
        <w:rPr>
          <w:rFonts w:ascii="Arial" w:hAnsi="Arial" w:cs="Arial"/>
        </w:rPr>
        <w:t>,2</w:t>
      </w:r>
      <w:r w:rsidR="006C244E" w:rsidRPr="00C7005D">
        <w:rPr>
          <w:rFonts w:ascii="Arial" w:hAnsi="Arial" w:cs="Arial"/>
        </w:rPr>
        <w:t xml:space="preserve">% σε σχέση με την αντίστοιχη περσινή περίοδο. </w:t>
      </w:r>
      <w:r w:rsidR="008E652B" w:rsidRPr="00C7005D">
        <w:rPr>
          <w:rFonts w:ascii="Arial" w:hAnsi="Arial" w:cs="Arial"/>
        </w:rPr>
        <w:t xml:space="preserve">Ο ΟΤΕ </w:t>
      </w:r>
      <w:r w:rsidR="00164BA2" w:rsidRPr="00C7005D">
        <w:rPr>
          <w:rFonts w:ascii="Arial" w:hAnsi="Arial" w:cs="Arial"/>
        </w:rPr>
        <w:t>προσέλκυσε</w:t>
      </w:r>
      <w:r w:rsidR="008E652B" w:rsidRPr="00C7005D">
        <w:rPr>
          <w:rFonts w:ascii="Arial" w:hAnsi="Arial" w:cs="Arial"/>
        </w:rPr>
        <w:t xml:space="preserve"> </w:t>
      </w:r>
      <w:r w:rsidR="00D84FB9" w:rsidRPr="00C7005D">
        <w:rPr>
          <w:rFonts w:ascii="Arial" w:hAnsi="Arial" w:cs="Arial"/>
        </w:rPr>
        <w:t>15</w:t>
      </w:r>
      <w:r w:rsidR="008E652B" w:rsidRPr="00C7005D">
        <w:rPr>
          <w:rFonts w:ascii="Arial" w:hAnsi="Arial" w:cs="Arial"/>
        </w:rPr>
        <w:t xml:space="preserve"> χιλιάδ</w:t>
      </w:r>
      <w:r w:rsidR="00164BA2" w:rsidRPr="00C7005D">
        <w:rPr>
          <w:rFonts w:ascii="Arial" w:hAnsi="Arial" w:cs="Arial"/>
        </w:rPr>
        <w:t>ες νέους</w:t>
      </w:r>
      <w:r w:rsidR="008E652B" w:rsidRPr="00C7005D">
        <w:rPr>
          <w:rFonts w:ascii="Arial" w:hAnsi="Arial" w:cs="Arial"/>
        </w:rPr>
        <w:t xml:space="preserve"> συνδρομητ</w:t>
      </w:r>
      <w:r w:rsidR="00164BA2" w:rsidRPr="00C7005D">
        <w:rPr>
          <w:rFonts w:ascii="Arial" w:hAnsi="Arial" w:cs="Arial"/>
        </w:rPr>
        <w:t>ές</w:t>
      </w:r>
      <w:r w:rsidR="008E652B" w:rsidRPr="00C7005D">
        <w:rPr>
          <w:rFonts w:ascii="Arial" w:hAnsi="Arial" w:cs="Arial"/>
        </w:rPr>
        <w:t xml:space="preserve"> τηλεόρασης, </w:t>
      </w:r>
      <w:r w:rsidR="00164BA2" w:rsidRPr="00C7005D">
        <w:rPr>
          <w:rFonts w:ascii="Arial" w:hAnsi="Arial" w:cs="Arial"/>
        </w:rPr>
        <w:t>γεγονός που αποδίδεται κυρίως στην</w:t>
      </w:r>
      <w:r w:rsidR="008E652B" w:rsidRPr="00C7005D">
        <w:rPr>
          <w:rFonts w:ascii="Arial" w:hAnsi="Arial" w:cs="Arial"/>
        </w:rPr>
        <w:t xml:space="preserve"> συμφωνία </w:t>
      </w:r>
      <w:r w:rsidR="00517CB5" w:rsidRPr="00C7005D">
        <w:rPr>
          <w:rFonts w:ascii="Arial" w:hAnsi="Arial" w:cs="Arial"/>
        </w:rPr>
        <w:t xml:space="preserve">αμοιβαίας διάθεσης </w:t>
      </w:r>
      <w:r w:rsidR="008E652B" w:rsidRPr="00C7005D">
        <w:rPr>
          <w:rFonts w:ascii="Arial" w:hAnsi="Arial" w:cs="Arial"/>
        </w:rPr>
        <w:t>αθλητικού περιεχομένου ΟΤΕ-ΝΟ</w:t>
      </w:r>
      <w:r w:rsidR="00402D87" w:rsidRPr="00D66702">
        <w:rPr>
          <w:rFonts w:ascii="Arial" w:hAnsi="Arial" w:cs="Arial"/>
          <w:lang w:val="en-US"/>
        </w:rPr>
        <w:t>V</w:t>
      </w:r>
      <w:r w:rsidR="008E652B" w:rsidRPr="00C7005D">
        <w:rPr>
          <w:rFonts w:ascii="Arial" w:hAnsi="Arial" w:cs="Arial"/>
        </w:rPr>
        <w:t>Α.</w:t>
      </w:r>
      <w:r w:rsidR="00840AB8" w:rsidRPr="00C7005D">
        <w:rPr>
          <w:rFonts w:ascii="Arial" w:hAnsi="Arial" w:cs="Arial"/>
        </w:rPr>
        <w:t xml:space="preserve"> </w:t>
      </w:r>
      <w:r w:rsidR="002E789D" w:rsidRPr="00C7005D">
        <w:rPr>
          <w:rFonts w:ascii="Arial" w:hAnsi="Arial" w:cs="Arial"/>
        </w:rPr>
        <w:t>Η συμφωνία</w:t>
      </w:r>
      <w:r w:rsidR="007E66C1" w:rsidRPr="00C7005D">
        <w:rPr>
          <w:rFonts w:ascii="Arial" w:hAnsi="Arial" w:cs="Arial"/>
        </w:rPr>
        <w:t>, εκτός από το ότι</w:t>
      </w:r>
      <w:r w:rsidR="002E789D" w:rsidRPr="00C7005D">
        <w:rPr>
          <w:rFonts w:ascii="Arial" w:hAnsi="Arial" w:cs="Arial"/>
        </w:rPr>
        <w:t xml:space="preserve"> παρέχει τη δυνατότητα πρόσβασης σε πιο πλούσιο αθλητικό περιεχόμενο,</w:t>
      </w:r>
      <w:r w:rsidR="00206D1A" w:rsidRPr="00C7005D">
        <w:rPr>
          <w:rFonts w:ascii="Arial" w:hAnsi="Arial" w:cs="Arial"/>
        </w:rPr>
        <w:t xml:space="preserve"> </w:t>
      </w:r>
      <w:r w:rsidR="00100768" w:rsidRPr="00C7005D">
        <w:rPr>
          <w:rFonts w:ascii="Arial" w:hAnsi="Arial" w:cs="Arial"/>
        </w:rPr>
        <w:t>ενισχύει την</w:t>
      </w:r>
      <w:r w:rsidR="007E66C1" w:rsidRPr="00C7005D">
        <w:rPr>
          <w:rFonts w:ascii="Arial" w:hAnsi="Arial" w:cs="Arial"/>
        </w:rPr>
        <w:t xml:space="preserve"> αξία </w:t>
      </w:r>
      <w:r w:rsidR="00100768" w:rsidRPr="00C7005D">
        <w:rPr>
          <w:rFonts w:ascii="Arial" w:hAnsi="Arial" w:cs="Arial"/>
        </w:rPr>
        <w:t>των υπηρεσιών</w:t>
      </w:r>
      <w:r w:rsidR="000B61A8" w:rsidRPr="00C7005D">
        <w:rPr>
          <w:rFonts w:ascii="Arial" w:hAnsi="Arial" w:cs="Arial"/>
        </w:rPr>
        <w:t xml:space="preserve"> </w:t>
      </w:r>
      <w:r w:rsidR="000B61A8" w:rsidRPr="00C7005D" w:rsidDel="007A2E83">
        <w:rPr>
          <w:rFonts w:ascii="Arial" w:hAnsi="Arial" w:cs="Arial"/>
        </w:rPr>
        <w:t>και</w:t>
      </w:r>
      <w:r w:rsidR="00206D1A" w:rsidRPr="00C7005D" w:rsidDel="007A2E83">
        <w:rPr>
          <w:rFonts w:ascii="Arial" w:hAnsi="Arial" w:cs="Arial"/>
        </w:rPr>
        <w:t xml:space="preserve"> </w:t>
      </w:r>
      <w:r w:rsidR="00517B76" w:rsidRPr="00C7005D" w:rsidDel="007A2E83">
        <w:rPr>
          <w:rFonts w:ascii="Arial" w:hAnsi="Arial" w:cs="Arial"/>
        </w:rPr>
        <w:t>αποτελεί</w:t>
      </w:r>
      <w:r w:rsidR="002E789D" w:rsidRPr="00C7005D" w:rsidDel="007A2E83">
        <w:rPr>
          <w:rFonts w:ascii="Arial" w:hAnsi="Arial" w:cs="Arial"/>
        </w:rPr>
        <w:t xml:space="preserve"> μια αποτελεσματική πολιτική δράσης κατά της πειρατείας</w:t>
      </w:r>
      <w:r w:rsidR="000B61A8" w:rsidRPr="00C7005D" w:rsidDel="007A2E83">
        <w:rPr>
          <w:rFonts w:ascii="Arial" w:hAnsi="Arial" w:cs="Arial"/>
        </w:rPr>
        <w:t xml:space="preserve">. </w:t>
      </w:r>
      <w:r w:rsidR="009E77D2" w:rsidRPr="00D66702">
        <w:rPr>
          <w:rFonts w:ascii="Arial" w:hAnsi="Arial" w:cs="Arial"/>
          <w:lang w:val="en-US"/>
        </w:rPr>
        <w:t>H</w:t>
      </w:r>
      <w:r w:rsidR="004221F7" w:rsidRPr="00C7005D">
        <w:rPr>
          <w:rFonts w:ascii="Arial" w:hAnsi="Arial" w:cs="Arial"/>
        </w:rPr>
        <w:t xml:space="preserve"> </w:t>
      </w:r>
      <w:r w:rsidR="000B61A8" w:rsidRPr="00C7005D">
        <w:rPr>
          <w:rFonts w:ascii="Arial" w:hAnsi="Arial" w:cs="Arial"/>
        </w:rPr>
        <w:t>συμφωνία</w:t>
      </w:r>
      <w:r w:rsidR="002E789D" w:rsidRPr="00C7005D">
        <w:rPr>
          <w:rFonts w:ascii="Arial" w:hAnsi="Arial" w:cs="Arial"/>
        </w:rPr>
        <w:t xml:space="preserve"> αναμένεται να οδηγήσει στην ανάπτυξη της συνολικής αγοράς συνδρομητικής τηλεόρασης</w:t>
      </w:r>
      <w:r w:rsidR="00100768" w:rsidRPr="00C7005D">
        <w:rPr>
          <w:rFonts w:ascii="Arial" w:hAnsi="Arial" w:cs="Arial"/>
        </w:rPr>
        <w:t xml:space="preserve"> στην Ελλάδα</w:t>
      </w:r>
      <w:r w:rsidR="007847F5" w:rsidRPr="00C7005D">
        <w:rPr>
          <w:rFonts w:ascii="Arial" w:hAnsi="Arial" w:cs="Arial"/>
        </w:rPr>
        <w:t xml:space="preserve">, ενώ </w:t>
      </w:r>
      <w:r w:rsidR="00385072" w:rsidRPr="00C7005D">
        <w:rPr>
          <w:rFonts w:ascii="Arial" w:hAnsi="Arial" w:cs="Arial"/>
        </w:rPr>
        <w:t>η</w:t>
      </w:r>
      <w:r w:rsidR="007847F5" w:rsidRPr="00C7005D">
        <w:rPr>
          <w:rFonts w:ascii="Arial" w:hAnsi="Arial" w:cs="Arial"/>
        </w:rPr>
        <w:t xml:space="preserve"> πρόσφατη </w:t>
      </w:r>
      <w:r w:rsidR="00844372" w:rsidRPr="00C7005D">
        <w:rPr>
          <w:rFonts w:ascii="Arial" w:hAnsi="Arial" w:cs="Arial"/>
        </w:rPr>
        <w:t>νομοθετική</w:t>
      </w:r>
      <w:r w:rsidR="007847F5" w:rsidRPr="00C7005D">
        <w:rPr>
          <w:rFonts w:ascii="Arial" w:hAnsi="Arial" w:cs="Arial"/>
        </w:rPr>
        <w:t xml:space="preserve"> έγκριση κατά της πειρατείας αναμένεται να υποστηρίξει περαιτέρω αυτή την κατεύθυνση</w:t>
      </w:r>
      <w:r w:rsidR="007A2E83" w:rsidRPr="00C7005D">
        <w:rPr>
          <w:rFonts w:ascii="Arial" w:hAnsi="Arial" w:cs="Arial"/>
        </w:rPr>
        <w:t>.</w:t>
      </w: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F30F76" w:rsidRPr="001745EE" w14:paraId="77537E55" w14:textId="77777777" w:rsidTr="00744EE5">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817F7" w14:textId="37E53FEE" w:rsidR="00F30F76" w:rsidRPr="00F30F76" w:rsidRDefault="00F30F76" w:rsidP="00744EE5">
            <w:pPr>
              <w:pStyle w:val="ColorfulList-Accent11"/>
              <w:tabs>
                <w:tab w:val="left" w:pos="0"/>
                <w:tab w:val="left" w:pos="284"/>
              </w:tabs>
              <w:ind w:left="0" w:right="-90"/>
              <w:rPr>
                <w:rFonts w:ascii="Arial" w:hAnsi="Arial" w:cs="Arial"/>
                <w:i/>
                <w:lang w:val="el-GR"/>
              </w:rPr>
            </w:pPr>
            <w:r>
              <w:rPr>
                <w:rFonts w:ascii="Arial" w:hAnsi="Arial" w:cs="Arial"/>
                <w:b/>
                <w:lang w:val="el-GR"/>
              </w:rPr>
              <w:t>Λειτουργικά Στοιχεία Κινητής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F3C50FF"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Q4'24</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7FC208E"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Q4'23</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7999DC"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A10888E" w14:textId="17B866F9" w:rsidR="00F30F76" w:rsidRPr="00F30F76" w:rsidRDefault="00F30F7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tr w:rsidR="00F30F76" w:rsidRPr="001745EE" w14:paraId="426FA39E" w14:textId="77777777" w:rsidTr="00744EE5">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59227F69" w14:textId="163D4597" w:rsidR="00F30F76" w:rsidRPr="004F331D" w:rsidRDefault="0032034B" w:rsidP="00744EE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 xml:space="preserve">Συνδρομητές </w:t>
            </w:r>
            <w:r w:rsidR="00F30F76" w:rsidRPr="004F331D">
              <w:rPr>
                <w:rFonts w:ascii="Arial" w:hAnsi="Arial" w:cs="Arial"/>
                <w:b/>
                <w:lang w:val="el-GR"/>
              </w:rPr>
              <w:t>Κινητής</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B7EB4CA" w14:textId="1BB8EE61"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w:t>
            </w:r>
            <w:r w:rsidR="00084951" w:rsidRPr="004F331D">
              <w:rPr>
                <w:rFonts w:ascii="Arial" w:hAnsi="Arial" w:cs="Arial"/>
                <w:b/>
              </w:rPr>
              <w:t>.</w:t>
            </w:r>
            <w:r w:rsidRPr="004F331D">
              <w:rPr>
                <w:rFonts w:ascii="Arial" w:hAnsi="Arial" w:cs="Arial"/>
                <w:b/>
              </w:rPr>
              <w:t>142</w:t>
            </w:r>
            <w:r w:rsidR="00084951" w:rsidRPr="004F331D">
              <w:rPr>
                <w:rFonts w:ascii="Arial" w:hAnsi="Arial" w:cs="Arial"/>
                <w:b/>
              </w:rPr>
              <w:t>.</w:t>
            </w:r>
            <w:r w:rsidRPr="004F331D">
              <w:rPr>
                <w:rFonts w:ascii="Arial" w:hAnsi="Arial" w:cs="Arial"/>
                <w:b/>
              </w:rPr>
              <w:t>553</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66EA7475" w14:textId="07BD48AE"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w:t>
            </w:r>
            <w:r w:rsidR="00084951" w:rsidRPr="004F331D">
              <w:rPr>
                <w:rFonts w:ascii="Arial" w:hAnsi="Arial" w:cs="Arial"/>
                <w:b/>
              </w:rPr>
              <w:t>.</w:t>
            </w:r>
            <w:r w:rsidRPr="004F331D">
              <w:rPr>
                <w:rFonts w:ascii="Arial" w:hAnsi="Arial" w:cs="Arial"/>
                <w:b/>
              </w:rPr>
              <w:t>118</w:t>
            </w:r>
            <w:r w:rsidR="00084951" w:rsidRPr="004F331D">
              <w:rPr>
                <w:rFonts w:ascii="Arial" w:hAnsi="Arial" w:cs="Arial"/>
                <w:b/>
              </w:rPr>
              <w:t>.</w:t>
            </w:r>
            <w:r w:rsidRPr="004F331D">
              <w:rPr>
                <w:rFonts w:ascii="Arial" w:hAnsi="Arial" w:cs="Arial"/>
                <w:b/>
              </w:rPr>
              <w:t>679</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4B82ACDB" w14:textId="143AD537"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+0</w:t>
            </w:r>
            <w:r w:rsidR="00084951" w:rsidRPr="004F331D">
              <w:rPr>
                <w:rFonts w:ascii="Arial" w:hAnsi="Arial" w:cs="Arial"/>
                <w:b/>
              </w:rPr>
              <w:t>,</w:t>
            </w:r>
            <w:r w:rsidRPr="004F331D">
              <w:rPr>
                <w:rFonts w:ascii="Arial" w:hAnsi="Arial" w:cs="Arial"/>
                <w:b/>
              </w:rPr>
              <w:t>3%</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6F2E2D2A" w14:textId="44C277F6"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23</w:t>
            </w:r>
            <w:r w:rsidR="00084951" w:rsidRPr="004F331D">
              <w:rPr>
                <w:rFonts w:ascii="Arial" w:hAnsi="Arial" w:cs="Arial"/>
                <w:b/>
              </w:rPr>
              <w:t>.</w:t>
            </w:r>
            <w:r w:rsidRPr="004F331D">
              <w:rPr>
                <w:rFonts w:ascii="Arial" w:hAnsi="Arial" w:cs="Arial"/>
                <w:b/>
              </w:rPr>
              <w:t>874</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59879BC4" w14:textId="34CA4D93" w:rsidR="00F30F76" w:rsidRPr="004F331D" w:rsidRDefault="00F30F7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(42</w:t>
            </w:r>
            <w:r w:rsidR="00084951" w:rsidRPr="004F331D">
              <w:rPr>
                <w:rFonts w:ascii="Arial" w:hAnsi="Arial" w:cs="Arial"/>
                <w:b/>
              </w:rPr>
              <w:t>.</w:t>
            </w:r>
            <w:r w:rsidRPr="004F331D">
              <w:rPr>
                <w:rFonts w:ascii="Arial" w:hAnsi="Arial" w:cs="Arial"/>
                <w:b/>
              </w:rPr>
              <w:t>154)</w:t>
            </w:r>
          </w:p>
        </w:tc>
      </w:tr>
      <w:tr w:rsidR="00F30F76" w:rsidRPr="001745EE" w14:paraId="671A4F02" w14:textId="77777777" w:rsidTr="00744EE5">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4FE4B013" w14:textId="0FB69E63" w:rsidR="00F30F76" w:rsidRPr="00F30F76" w:rsidRDefault="00F30F76" w:rsidP="00744EE5">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sidR="0032034B">
              <w:rPr>
                <w:rFonts w:ascii="Arial" w:hAnsi="Arial" w:cs="Arial"/>
                <w:bCs/>
                <w:i/>
                <w:lang w:val="el-GR"/>
              </w:rPr>
              <w:t xml:space="preserve">Συνδρομητές </w:t>
            </w:r>
            <w:r>
              <w:rPr>
                <w:rFonts w:ascii="Arial" w:hAnsi="Arial" w:cs="Arial"/>
                <w:bCs/>
                <w:i/>
                <w:lang w:val="el-GR"/>
              </w:rPr>
              <w:t>Συμβολαίου</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343B447" w14:textId="2BEE1DBE"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2</w:t>
            </w:r>
            <w:r w:rsidR="00084951">
              <w:rPr>
                <w:rFonts w:ascii="Arial" w:hAnsi="Arial" w:cs="Arial"/>
                <w:bCs/>
                <w:i/>
                <w:iCs/>
              </w:rPr>
              <w:t>.</w:t>
            </w:r>
            <w:r w:rsidRPr="000067B8">
              <w:rPr>
                <w:rFonts w:ascii="Arial" w:hAnsi="Arial" w:cs="Arial"/>
                <w:bCs/>
                <w:i/>
                <w:iCs/>
              </w:rPr>
              <w:t>856</w:t>
            </w:r>
            <w:r w:rsidR="00084951">
              <w:rPr>
                <w:rFonts w:ascii="Arial" w:hAnsi="Arial" w:cs="Arial"/>
                <w:bCs/>
                <w:i/>
                <w:iCs/>
              </w:rPr>
              <w:t>.</w:t>
            </w:r>
            <w:r w:rsidRPr="000067B8">
              <w:rPr>
                <w:rFonts w:ascii="Arial" w:hAnsi="Arial" w:cs="Arial"/>
                <w:bCs/>
                <w:i/>
                <w:iCs/>
              </w:rPr>
              <w:t>891</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2767C66F" w14:textId="1F485F82"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2</w:t>
            </w:r>
            <w:r w:rsidR="00084951">
              <w:rPr>
                <w:rFonts w:ascii="Arial" w:hAnsi="Arial" w:cs="Arial"/>
                <w:bCs/>
                <w:i/>
                <w:iCs/>
              </w:rPr>
              <w:t>.</w:t>
            </w:r>
            <w:r w:rsidRPr="000067B8">
              <w:rPr>
                <w:rFonts w:ascii="Arial" w:hAnsi="Arial" w:cs="Arial"/>
                <w:bCs/>
                <w:i/>
                <w:iCs/>
              </w:rPr>
              <w:t>682</w:t>
            </w:r>
            <w:r w:rsidR="00084951">
              <w:rPr>
                <w:rFonts w:ascii="Arial" w:hAnsi="Arial" w:cs="Arial"/>
                <w:bCs/>
                <w:i/>
                <w:iCs/>
              </w:rPr>
              <w:t>.</w:t>
            </w:r>
            <w:r w:rsidRPr="000067B8">
              <w:rPr>
                <w:rFonts w:ascii="Arial" w:hAnsi="Arial" w:cs="Arial"/>
                <w:bCs/>
                <w:i/>
                <w:iCs/>
              </w:rPr>
              <w:t>371</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53346478" w14:textId="4D7E7B4F"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+6</w:t>
            </w:r>
            <w:r w:rsidR="00084951">
              <w:rPr>
                <w:rFonts w:ascii="Arial" w:hAnsi="Arial" w:cs="Arial"/>
                <w:bCs/>
                <w:i/>
                <w:iCs/>
              </w:rPr>
              <w:t>,</w:t>
            </w:r>
            <w:r w:rsidRPr="000067B8">
              <w:rPr>
                <w:rFonts w:ascii="Arial" w:hAnsi="Arial" w:cs="Arial"/>
                <w:bCs/>
                <w:i/>
                <w:iCs/>
              </w:rPr>
              <w:t>5%</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1BFF28C3" w14:textId="1F22EFB7"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174</w:t>
            </w:r>
            <w:r w:rsidR="00084951">
              <w:rPr>
                <w:rFonts w:ascii="Arial" w:hAnsi="Arial" w:cs="Arial"/>
                <w:bCs/>
                <w:i/>
                <w:iCs/>
              </w:rPr>
              <w:t>.</w:t>
            </w:r>
            <w:r w:rsidRPr="000067B8">
              <w:rPr>
                <w:rFonts w:ascii="Arial" w:hAnsi="Arial" w:cs="Arial"/>
                <w:bCs/>
                <w:i/>
                <w:iCs/>
              </w:rPr>
              <w:t>520</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26CB7A29" w14:textId="7DF71360" w:rsidR="00F30F76" w:rsidRPr="000067B8" w:rsidRDefault="00F30F76" w:rsidP="00744EE5">
            <w:pPr>
              <w:pStyle w:val="ColorfulList-Accent11"/>
              <w:tabs>
                <w:tab w:val="left" w:pos="0"/>
                <w:tab w:val="left" w:pos="284"/>
              </w:tabs>
              <w:ind w:left="0" w:right="-90"/>
              <w:jc w:val="center"/>
              <w:rPr>
                <w:rFonts w:ascii="Arial" w:hAnsi="Arial" w:cs="Arial"/>
                <w:bCs/>
              </w:rPr>
            </w:pPr>
            <w:r w:rsidRPr="000067B8">
              <w:rPr>
                <w:rFonts w:ascii="Arial" w:hAnsi="Arial" w:cs="Arial"/>
                <w:bCs/>
                <w:i/>
                <w:iCs/>
              </w:rPr>
              <w:t>33</w:t>
            </w:r>
            <w:r w:rsidR="00084951">
              <w:rPr>
                <w:rFonts w:ascii="Arial" w:hAnsi="Arial" w:cs="Arial"/>
                <w:bCs/>
                <w:i/>
                <w:iCs/>
              </w:rPr>
              <w:t>.</w:t>
            </w:r>
            <w:r w:rsidRPr="000067B8">
              <w:rPr>
                <w:rFonts w:ascii="Arial" w:hAnsi="Arial" w:cs="Arial"/>
                <w:bCs/>
                <w:i/>
                <w:iCs/>
              </w:rPr>
              <w:t>581</w:t>
            </w:r>
          </w:p>
        </w:tc>
      </w:tr>
      <w:tr w:rsidR="00F30F76" w:rsidRPr="001745EE" w14:paraId="1368CA1E" w14:textId="77777777" w:rsidTr="00744EE5">
        <w:trPr>
          <w:trHeight w:val="160"/>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755F0F1" w14:textId="02DDBD5F" w:rsidR="00F30F76" w:rsidRPr="00F30F76" w:rsidRDefault="00F30F76" w:rsidP="00744EE5">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sidR="0032034B">
              <w:rPr>
                <w:rFonts w:ascii="Arial" w:hAnsi="Arial" w:cs="Arial"/>
                <w:bCs/>
                <w:i/>
                <w:lang w:val="el-GR"/>
              </w:rPr>
              <w:t xml:space="preserve">Συνδρομητές </w:t>
            </w:r>
            <w:r>
              <w:rPr>
                <w:rFonts w:ascii="Arial" w:hAnsi="Arial" w:cs="Arial"/>
                <w:bCs/>
                <w:i/>
                <w:lang w:val="el-GR"/>
              </w:rPr>
              <w:t>Καρτοκινητής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37093900" w14:textId="5D0A7712"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4</w:t>
            </w:r>
            <w:r w:rsidR="00084951">
              <w:rPr>
                <w:rFonts w:ascii="Arial" w:hAnsi="Arial" w:cs="Arial"/>
                <w:bCs/>
                <w:i/>
                <w:iCs/>
              </w:rPr>
              <w:t>.</w:t>
            </w:r>
            <w:r w:rsidRPr="000067B8">
              <w:rPr>
                <w:rFonts w:ascii="Arial" w:hAnsi="Arial" w:cs="Arial"/>
                <w:bCs/>
                <w:i/>
                <w:iCs/>
              </w:rPr>
              <w:t>285</w:t>
            </w:r>
            <w:r w:rsidR="00084951">
              <w:rPr>
                <w:rFonts w:ascii="Arial" w:hAnsi="Arial" w:cs="Arial"/>
                <w:bCs/>
                <w:i/>
                <w:iCs/>
              </w:rPr>
              <w:t>.</w:t>
            </w:r>
            <w:r w:rsidRPr="000067B8">
              <w:rPr>
                <w:rFonts w:ascii="Arial" w:hAnsi="Arial" w:cs="Arial"/>
                <w:bCs/>
                <w:i/>
                <w:iCs/>
              </w:rPr>
              <w:t>662</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77DC7AC1" w14:textId="538D6780"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4</w:t>
            </w:r>
            <w:r w:rsidR="00084951">
              <w:rPr>
                <w:rFonts w:ascii="Arial" w:hAnsi="Arial" w:cs="Arial"/>
                <w:bCs/>
                <w:i/>
                <w:iCs/>
              </w:rPr>
              <w:t>.</w:t>
            </w:r>
            <w:r w:rsidRPr="000067B8">
              <w:rPr>
                <w:rFonts w:ascii="Arial" w:hAnsi="Arial" w:cs="Arial"/>
                <w:bCs/>
                <w:i/>
                <w:iCs/>
              </w:rPr>
              <w:t>436</w:t>
            </w:r>
            <w:r w:rsidR="00084951">
              <w:rPr>
                <w:rFonts w:ascii="Arial" w:hAnsi="Arial" w:cs="Arial"/>
                <w:bCs/>
                <w:i/>
                <w:iCs/>
              </w:rPr>
              <w:t>.</w:t>
            </w:r>
            <w:r w:rsidRPr="000067B8">
              <w:rPr>
                <w:rFonts w:ascii="Arial" w:hAnsi="Arial" w:cs="Arial"/>
                <w:bCs/>
                <w:i/>
                <w:iCs/>
              </w:rPr>
              <w:t>308</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605E426F" w14:textId="1B963FF6"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-3</w:t>
            </w:r>
            <w:r w:rsidR="00084951">
              <w:rPr>
                <w:rFonts w:ascii="Arial" w:hAnsi="Arial" w:cs="Arial"/>
                <w:bCs/>
                <w:i/>
                <w:iCs/>
              </w:rPr>
              <w:t>,</w:t>
            </w:r>
            <w:r w:rsidRPr="000067B8">
              <w:rPr>
                <w:rFonts w:ascii="Arial" w:hAnsi="Arial" w:cs="Arial"/>
                <w:bCs/>
                <w:i/>
                <w:iCs/>
              </w:rPr>
              <w:t>4%</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1B279423" w14:textId="0DB5F106"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(150</w:t>
            </w:r>
            <w:r w:rsidR="00084951">
              <w:rPr>
                <w:rFonts w:ascii="Arial" w:hAnsi="Arial" w:cs="Arial"/>
                <w:bCs/>
                <w:i/>
                <w:iCs/>
              </w:rPr>
              <w:t>.</w:t>
            </w:r>
            <w:r w:rsidRPr="000067B8">
              <w:rPr>
                <w:rFonts w:ascii="Arial" w:hAnsi="Arial" w:cs="Arial"/>
                <w:bCs/>
                <w:i/>
                <w:iCs/>
              </w:rPr>
              <w:t>646)</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586AC733" w14:textId="5AECBD2F"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(75</w:t>
            </w:r>
            <w:r w:rsidR="00084951">
              <w:rPr>
                <w:rFonts w:ascii="Arial" w:hAnsi="Arial" w:cs="Arial"/>
                <w:bCs/>
                <w:i/>
                <w:iCs/>
              </w:rPr>
              <w:t>.</w:t>
            </w:r>
            <w:r w:rsidRPr="000067B8">
              <w:rPr>
                <w:rFonts w:ascii="Arial" w:hAnsi="Arial" w:cs="Arial"/>
                <w:bCs/>
                <w:i/>
                <w:iCs/>
              </w:rPr>
              <w:t>735)</w:t>
            </w:r>
          </w:p>
        </w:tc>
      </w:tr>
    </w:tbl>
    <w:p w14:paraId="7699522B" w14:textId="1799A16D" w:rsidR="00F30F76" w:rsidRDefault="00262E46" w:rsidP="008E4B40">
      <w:pPr>
        <w:pStyle w:val="Default"/>
        <w:jc w:val="both"/>
        <w:rPr>
          <w:rFonts w:ascii="Arial" w:hAnsi="Arial" w:cs="Arial"/>
          <w:color w:val="auto"/>
          <w:sz w:val="22"/>
          <w:szCs w:val="20"/>
          <w:lang w:eastAsia="en-US"/>
        </w:rPr>
      </w:pPr>
      <w:r w:rsidRPr="003E7090">
        <w:rPr>
          <w:rFonts w:ascii="Arial" w:hAnsi="Arial" w:cs="Arial"/>
          <w:i/>
          <w:sz w:val="16"/>
          <w:szCs w:val="16"/>
        </w:rPr>
        <w:t>Σημείωση: Όλοι οι λειτουργικοί Δείκτες Απόδοσης για τις περιόδους 2024 και 2023 έχουν αναταξινομηθεί.</w:t>
      </w:r>
      <w:r>
        <w:rPr>
          <w:rFonts w:ascii="Arial" w:hAnsi="Arial" w:cs="Arial"/>
          <w:i/>
          <w:sz w:val="16"/>
          <w:szCs w:val="16"/>
        </w:rPr>
        <w:t xml:space="preserve"> </w:t>
      </w:r>
      <w:r w:rsidRPr="003E7090">
        <w:rPr>
          <w:rFonts w:ascii="Arial" w:hAnsi="Arial" w:cs="Arial"/>
          <w:i/>
          <w:sz w:val="16"/>
          <w:szCs w:val="16"/>
        </w:rPr>
        <w:t xml:space="preserve">Στην Κινητή, η αναταξινόμηση αναφέρεται </w:t>
      </w:r>
      <w:r w:rsidR="00FD36BD">
        <w:rPr>
          <w:rFonts w:ascii="Arial" w:hAnsi="Arial" w:cs="Arial"/>
          <w:i/>
          <w:sz w:val="16"/>
          <w:szCs w:val="16"/>
        </w:rPr>
        <w:t xml:space="preserve">κυρίως </w:t>
      </w:r>
      <w:r w:rsidRPr="003E7090">
        <w:rPr>
          <w:rFonts w:ascii="Arial" w:hAnsi="Arial" w:cs="Arial"/>
          <w:i/>
          <w:sz w:val="16"/>
          <w:szCs w:val="16"/>
        </w:rPr>
        <w:t>σε ανακατανομή μεταξύ πελατών συμβολαίου και καρτοκινητής</w:t>
      </w:r>
      <w:r w:rsidR="00FD36BD">
        <w:rPr>
          <w:rFonts w:ascii="Arial" w:hAnsi="Arial" w:cs="Arial"/>
          <w:i/>
          <w:sz w:val="16"/>
          <w:szCs w:val="16"/>
        </w:rPr>
        <w:t>.</w:t>
      </w:r>
    </w:p>
    <w:p w14:paraId="4DC08F82" w14:textId="77777777" w:rsidR="00F30F76" w:rsidRDefault="00F30F76" w:rsidP="008E4B40">
      <w:pPr>
        <w:pStyle w:val="Default"/>
        <w:jc w:val="both"/>
        <w:rPr>
          <w:rFonts w:ascii="Arial" w:hAnsi="Arial" w:cs="Arial"/>
          <w:color w:val="auto"/>
          <w:sz w:val="22"/>
          <w:szCs w:val="20"/>
          <w:lang w:eastAsia="en-US"/>
        </w:rPr>
      </w:pPr>
    </w:p>
    <w:p w14:paraId="4A51E710" w14:textId="778077D5" w:rsidR="00333ED3" w:rsidRDefault="00164BA2" w:rsidP="0007259D">
      <w:pPr>
        <w:spacing w:line="280" w:lineRule="exact"/>
        <w:jc w:val="both"/>
        <w:rPr>
          <w:rFonts w:ascii="Arial" w:hAnsi="Arial" w:cs="Arial"/>
        </w:rPr>
      </w:pPr>
      <w:r w:rsidRPr="008F3B54">
        <w:rPr>
          <w:rFonts w:ascii="Arial" w:hAnsi="Arial" w:cs="Arial"/>
        </w:rPr>
        <w:t>Στην κινητή, ο</w:t>
      </w:r>
      <w:r w:rsidR="00333ED3" w:rsidRPr="008F3B54">
        <w:rPr>
          <w:rFonts w:ascii="Arial" w:hAnsi="Arial" w:cs="Arial"/>
        </w:rPr>
        <w:t xml:space="preserve"> ΟΤΕ πέτυχε ακόμα ένα τρίμηνο αύξησης </w:t>
      </w:r>
      <w:r w:rsidRPr="008F3B54">
        <w:rPr>
          <w:rFonts w:ascii="Arial" w:hAnsi="Arial" w:cs="Arial"/>
        </w:rPr>
        <w:t>των πελατών</w:t>
      </w:r>
      <w:r w:rsidR="00333ED3" w:rsidRPr="008F3B54">
        <w:rPr>
          <w:rFonts w:ascii="Arial" w:hAnsi="Arial" w:cs="Arial"/>
        </w:rPr>
        <w:t xml:space="preserve"> συμβολαί</w:t>
      </w:r>
      <w:r w:rsidRPr="008F3B54">
        <w:rPr>
          <w:rFonts w:ascii="Arial" w:hAnsi="Arial" w:cs="Arial"/>
        </w:rPr>
        <w:t>ου,</w:t>
      </w:r>
      <w:r w:rsidR="00333ED3" w:rsidRPr="008F3B54">
        <w:rPr>
          <w:rFonts w:ascii="Arial" w:hAnsi="Arial" w:cs="Arial"/>
        </w:rPr>
        <w:t xml:space="preserve"> αξιοποιώντας την υπεροχή του δικτύου και την άριστη εξυπηρέτηση πελατών.</w:t>
      </w:r>
      <w:r w:rsidR="00EA5E20" w:rsidRPr="008F3B54">
        <w:rPr>
          <w:rFonts w:ascii="Arial" w:hAnsi="Arial" w:cs="Arial"/>
        </w:rPr>
        <w:t xml:space="preserve"> </w:t>
      </w:r>
      <w:r w:rsidR="0043105D" w:rsidRPr="001D7A36">
        <w:rPr>
          <w:rFonts w:ascii="Arial" w:hAnsi="Arial" w:cs="Arial"/>
        </w:rPr>
        <w:t>Οι</w:t>
      </w:r>
      <w:r w:rsidR="00EA5E20" w:rsidRPr="001D7A36">
        <w:rPr>
          <w:rFonts w:ascii="Arial" w:hAnsi="Arial" w:cs="Arial"/>
        </w:rPr>
        <w:t xml:space="preserve"> προσθήκες των πελατών συμβολαίου </w:t>
      </w:r>
      <w:r w:rsidR="0043105D" w:rsidRPr="001D7A36">
        <w:rPr>
          <w:rFonts w:ascii="Arial" w:hAnsi="Arial" w:cs="Arial"/>
        </w:rPr>
        <w:t>παρέμειναν ισχυρές, στις</w:t>
      </w:r>
      <w:r w:rsidR="00EA5E20" w:rsidRPr="001D7A36">
        <w:rPr>
          <w:rFonts w:ascii="Arial" w:hAnsi="Arial" w:cs="Arial"/>
        </w:rPr>
        <w:t xml:space="preserve"> 34 χιλιάδες, αυξάνοντας τη συνδρομητική βάση σε 2,9</w:t>
      </w:r>
      <w:r w:rsidRPr="001D7A36">
        <w:rPr>
          <w:rFonts w:ascii="Arial" w:hAnsi="Arial" w:cs="Arial"/>
        </w:rPr>
        <w:t xml:space="preserve"> </w:t>
      </w:r>
      <w:r w:rsidR="00EA5E20" w:rsidRPr="001D7A36">
        <w:rPr>
          <w:rFonts w:ascii="Arial" w:hAnsi="Arial" w:cs="Arial"/>
        </w:rPr>
        <w:t xml:space="preserve">εκατ., που αντιστοιχεί σε ετήσια αύξηση 6,5%. Οι προσθήκες νέων πελατών και η μετάβαση πελατών καρτοκινητής σε υπηρεσίες συμβολαίου ήταν για ακόμα ένα τρίμηνο </w:t>
      </w:r>
      <w:r w:rsidRPr="001D7A36">
        <w:rPr>
          <w:rFonts w:ascii="Arial" w:hAnsi="Arial" w:cs="Arial"/>
        </w:rPr>
        <w:t>αξιοσημείωτες</w:t>
      </w:r>
      <w:r w:rsidR="00EA5E20" w:rsidRPr="001D7A36">
        <w:rPr>
          <w:rFonts w:ascii="Arial" w:hAnsi="Arial" w:cs="Arial"/>
        </w:rPr>
        <w:t xml:space="preserve">. </w:t>
      </w:r>
      <w:r w:rsidR="00EA5E20" w:rsidRPr="008F3B54">
        <w:rPr>
          <w:rFonts w:ascii="Arial" w:hAnsi="Arial" w:cs="Arial"/>
        </w:rPr>
        <w:t xml:space="preserve">Οι πελάτες καρτοκινητής αντιπροσωπεύουν πλέον το 60% της συνολικής συνδρομητικής βάσης κινητής, </w:t>
      </w:r>
      <w:r w:rsidRPr="008F3B54">
        <w:rPr>
          <w:rFonts w:ascii="Arial" w:hAnsi="Arial" w:cs="Arial"/>
        </w:rPr>
        <w:t>από</w:t>
      </w:r>
      <w:r w:rsidR="00EA5E20" w:rsidRPr="008F3B54">
        <w:rPr>
          <w:rFonts w:ascii="Arial" w:hAnsi="Arial" w:cs="Arial"/>
        </w:rPr>
        <w:t xml:space="preserve"> 62% ένα χρόνο πριν</w:t>
      </w:r>
      <w:r w:rsidR="008F3B54" w:rsidRPr="008F3B54">
        <w:rPr>
          <w:rFonts w:ascii="Arial" w:hAnsi="Arial" w:cs="Arial"/>
        </w:rPr>
        <w:t>,</w:t>
      </w:r>
      <w:r w:rsidR="008F3B54">
        <w:rPr>
          <w:rFonts w:ascii="Arial" w:hAnsi="Arial" w:cs="Arial"/>
        </w:rPr>
        <w:t xml:space="preserve"> παρέχοντας το υπόβαθρο για περεταίρω αναβαθμίσεις.</w:t>
      </w:r>
    </w:p>
    <w:p w14:paraId="2756EF52" w14:textId="0F16A16E" w:rsidR="00544075" w:rsidRPr="001D7A36" w:rsidRDefault="00397CF8" w:rsidP="00544075">
      <w:pPr>
        <w:spacing w:after="0" w:line="240" w:lineRule="auto"/>
        <w:jc w:val="both"/>
        <w:rPr>
          <w:rFonts w:ascii="Arial" w:hAnsi="Arial" w:cs="Arial"/>
        </w:rPr>
      </w:pPr>
      <w:r>
        <w:rPr>
          <w:rFonts w:ascii="Arial" w:hAnsi="Arial" w:cs="Arial"/>
          <w:szCs w:val="20"/>
        </w:rPr>
        <w:t xml:space="preserve">Συνεπής με τη στρατηγική </w:t>
      </w:r>
      <w:r w:rsidR="00FC6986">
        <w:rPr>
          <w:rFonts w:ascii="Arial" w:hAnsi="Arial" w:cs="Arial"/>
          <w:szCs w:val="20"/>
        </w:rPr>
        <w:t>της</w:t>
      </w:r>
      <w:r w:rsidR="00CC1287">
        <w:rPr>
          <w:rFonts w:ascii="Arial" w:hAnsi="Arial" w:cs="Arial"/>
          <w:szCs w:val="20"/>
        </w:rPr>
        <w:t>,</w:t>
      </w:r>
      <w:r w:rsidR="00FC6986">
        <w:rPr>
          <w:rFonts w:ascii="Arial" w:hAnsi="Arial" w:cs="Arial"/>
          <w:szCs w:val="20"/>
        </w:rPr>
        <w:t xml:space="preserve"> η εταιρεία σ</w:t>
      </w:r>
      <w:r w:rsidR="00FC6986" w:rsidRPr="00FC6986">
        <w:rPr>
          <w:rFonts w:ascii="Arial" w:hAnsi="Arial" w:cs="Arial"/>
          <w:szCs w:val="20"/>
        </w:rPr>
        <w:t>υνεχίζει να επενδύει στην επέκταση του δικτύου κινητ</w:t>
      </w:r>
      <w:r w:rsidR="00BB4575">
        <w:rPr>
          <w:rFonts w:ascii="Arial" w:hAnsi="Arial" w:cs="Arial"/>
          <w:szCs w:val="20"/>
        </w:rPr>
        <w:t>ής</w:t>
      </w:r>
      <w:r w:rsidR="00FC6986" w:rsidRPr="00FC6986">
        <w:rPr>
          <w:rFonts w:ascii="Arial" w:hAnsi="Arial" w:cs="Arial"/>
          <w:szCs w:val="20"/>
        </w:rPr>
        <w:t>.</w:t>
      </w:r>
      <w:r w:rsidR="0038786E">
        <w:rPr>
          <w:rFonts w:ascii="Arial" w:hAnsi="Arial" w:cs="Arial"/>
          <w:szCs w:val="20"/>
        </w:rPr>
        <w:t xml:space="preserve"> </w:t>
      </w:r>
      <w:r w:rsidR="0038786E" w:rsidRPr="006A1681">
        <w:rPr>
          <w:rFonts w:ascii="Arial" w:eastAsia="Times New Roman" w:hAnsi="Arial" w:cs="Arial"/>
          <w:szCs w:val="20"/>
        </w:rPr>
        <w:t xml:space="preserve">Η </w:t>
      </w:r>
      <w:r w:rsidR="0038786E" w:rsidRPr="001D7A36">
        <w:rPr>
          <w:rFonts w:ascii="Arial" w:hAnsi="Arial" w:cs="Arial"/>
        </w:rPr>
        <w:t>πληθυσμιακή κάλυψη του</w:t>
      </w:r>
      <w:hyperlink r:id="rId13" w:history="1">
        <w:r w:rsidR="00A602C0" w:rsidRPr="001D7A36">
          <w:rPr>
            <w:rFonts w:ascii="Arial" w:hAnsi="Arial" w:cs="Arial"/>
          </w:rPr>
          <w:t xml:space="preserve"> δικτύου </w:t>
        </w:r>
        <w:r w:rsidR="00297B7E" w:rsidRPr="001D7A36">
          <w:rPr>
            <w:rFonts w:ascii="Arial" w:hAnsi="Arial" w:cs="Arial"/>
          </w:rPr>
          <w:t>5</w:t>
        </w:r>
        <w:r w:rsidR="00297B7E" w:rsidRPr="008F3B54">
          <w:rPr>
            <w:rFonts w:ascii="Arial" w:hAnsi="Arial" w:cs="Arial"/>
            <w:lang w:val="en-US"/>
          </w:rPr>
          <w:t>G</w:t>
        </w:r>
      </w:hyperlink>
      <w:r w:rsidR="0038786E" w:rsidRPr="001D7A36">
        <w:rPr>
          <w:rFonts w:ascii="Arial" w:hAnsi="Arial" w:cs="Arial"/>
        </w:rPr>
        <w:t xml:space="preserve"> </w:t>
      </w:r>
      <w:r w:rsidR="00C406AD" w:rsidRPr="001D7A36">
        <w:rPr>
          <w:rFonts w:ascii="Arial" w:hAnsi="Arial" w:cs="Arial"/>
        </w:rPr>
        <w:t>έφτασε</w:t>
      </w:r>
      <w:r w:rsidR="0038786E" w:rsidRPr="001D7A36">
        <w:rPr>
          <w:rFonts w:ascii="Arial" w:hAnsi="Arial" w:cs="Arial"/>
        </w:rPr>
        <w:t xml:space="preserve"> το 99%</w:t>
      </w:r>
      <w:r w:rsidR="00CC1287" w:rsidRPr="001D7A36">
        <w:rPr>
          <w:rFonts w:ascii="Arial" w:hAnsi="Arial" w:cs="Arial"/>
        </w:rPr>
        <w:t xml:space="preserve"> το 2024</w:t>
      </w:r>
      <w:r w:rsidR="0038786E" w:rsidRPr="001D7A36">
        <w:rPr>
          <w:rFonts w:ascii="Arial" w:hAnsi="Arial" w:cs="Arial"/>
        </w:rPr>
        <w:t xml:space="preserve">, ενώ ο ΟΤΕ είναι η πρώτη εταιρεία </w:t>
      </w:r>
      <w:r w:rsidR="006B3777" w:rsidRPr="001D7A36">
        <w:rPr>
          <w:rFonts w:ascii="Arial" w:hAnsi="Arial" w:cs="Arial"/>
        </w:rPr>
        <w:t xml:space="preserve">στην Ελλάδα </w:t>
      </w:r>
      <w:r w:rsidR="0038786E" w:rsidRPr="001D7A36">
        <w:rPr>
          <w:rFonts w:ascii="Arial" w:hAnsi="Arial" w:cs="Arial"/>
        </w:rPr>
        <w:t xml:space="preserve">που </w:t>
      </w:r>
      <w:r w:rsidR="006B3777" w:rsidRPr="001D7A36">
        <w:rPr>
          <w:rFonts w:ascii="Arial" w:hAnsi="Arial" w:cs="Arial"/>
        </w:rPr>
        <w:t>αναβάθμισε το δίκτυο 5</w:t>
      </w:r>
      <w:r w:rsidR="006B3777" w:rsidRPr="008F3B54">
        <w:rPr>
          <w:rFonts w:ascii="Arial" w:hAnsi="Arial" w:cs="Arial"/>
          <w:lang w:val="en-US"/>
        </w:rPr>
        <w:t>G</w:t>
      </w:r>
      <w:r w:rsidR="0038786E" w:rsidRPr="001D7A36">
        <w:rPr>
          <w:rFonts w:ascii="Arial" w:hAnsi="Arial" w:cs="Arial"/>
        </w:rPr>
        <w:t xml:space="preserve"> </w:t>
      </w:r>
      <w:r w:rsidR="006B3777" w:rsidRPr="001D7A36">
        <w:rPr>
          <w:rFonts w:ascii="Arial" w:hAnsi="Arial" w:cs="Arial"/>
        </w:rPr>
        <w:t>σε</w:t>
      </w:r>
      <w:r w:rsidR="0038786E" w:rsidRPr="001D7A36">
        <w:rPr>
          <w:rFonts w:ascii="Arial" w:hAnsi="Arial" w:cs="Arial"/>
        </w:rPr>
        <w:t xml:space="preserve"> δίκτυο 5</w:t>
      </w:r>
      <w:r w:rsidR="0038786E" w:rsidRPr="008F3B54">
        <w:rPr>
          <w:rFonts w:ascii="Arial" w:hAnsi="Arial" w:cs="Arial"/>
          <w:lang w:val="en-US"/>
        </w:rPr>
        <w:t>G</w:t>
      </w:r>
      <w:r w:rsidR="0038786E" w:rsidRPr="001D7A36">
        <w:rPr>
          <w:rFonts w:ascii="Arial" w:hAnsi="Arial" w:cs="Arial"/>
        </w:rPr>
        <w:t>+</w:t>
      </w:r>
      <w:r w:rsidR="006B3777" w:rsidRPr="001D7A36">
        <w:rPr>
          <w:rFonts w:ascii="Arial" w:hAnsi="Arial" w:cs="Arial"/>
        </w:rPr>
        <w:t>(5</w:t>
      </w:r>
      <w:r w:rsidR="006B3777" w:rsidRPr="008F3B54">
        <w:rPr>
          <w:rFonts w:ascii="Arial" w:hAnsi="Arial" w:cs="Arial"/>
          <w:lang w:val="en-US"/>
        </w:rPr>
        <w:t>G</w:t>
      </w:r>
      <w:r w:rsidR="006B3777" w:rsidRPr="001D7A36">
        <w:rPr>
          <w:rFonts w:ascii="Arial" w:hAnsi="Arial" w:cs="Arial"/>
        </w:rPr>
        <w:t xml:space="preserve"> </w:t>
      </w:r>
      <w:r w:rsidR="006B3777" w:rsidRPr="008F3B54">
        <w:rPr>
          <w:rFonts w:ascii="Arial" w:hAnsi="Arial" w:cs="Arial"/>
          <w:lang w:val="en-US"/>
        </w:rPr>
        <w:t>Stand</w:t>
      </w:r>
      <w:r w:rsidR="006B3777" w:rsidRPr="001D7A36">
        <w:rPr>
          <w:rFonts w:ascii="Arial" w:hAnsi="Arial" w:cs="Arial"/>
        </w:rPr>
        <w:t>-</w:t>
      </w:r>
      <w:r w:rsidR="006B3777" w:rsidRPr="008F3B54">
        <w:rPr>
          <w:rFonts w:ascii="Arial" w:hAnsi="Arial" w:cs="Arial"/>
          <w:lang w:val="en-US"/>
        </w:rPr>
        <w:t>Alone</w:t>
      </w:r>
      <w:r w:rsidR="006B3777" w:rsidRPr="001D7A36">
        <w:rPr>
          <w:rFonts w:ascii="Arial" w:hAnsi="Arial" w:cs="Arial"/>
        </w:rPr>
        <w:t xml:space="preserve">) </w:t>
      </w:r>
      <w:r w:rsidR="0038786E" w:rsidRPr="001D7A36">
        <w:rPr>
          <w:rFonts w:ascii="Arial" w:hAnsi="Arial" w:cs="Arial"/>
        </w:rPr>
        <w:t xml:space="preserve"> </w:t>
      </w:r>
      <w:r w:rsidR="006B3777" w:rsidRPr="001D7A36">
        <w:rPr>
          <w:rFonts w:ascii="Arial" w:hAnsi="Arial" w:cs="Arial"/>
        </w:rPr>
        <w:t xml:space="preserve">φτάνοντας περίπου το 60% πληθυσμιακής κάλυψης. </w:t>
      </w:r>
      <w:r w:rsidR="00544075" w:rsidRPr="001D7A36">
        <w:rPr>
          <w:rFonts w:ascii="Arial" w:hAnsi="Arial" w:cs="Arial"/>
        </w:rPr>
        <w:t>Το δίκτυο νέας γενιάς 5</w:t>
      </w:r>
      <w:r w:rsidR="00544075" w:rsidRPr="008F3B54">
        <w:rPr>
          <w:rFonts w:ascii="Arial" w:hAnsi="Arial" w:cs="Arial"/>
          <w:lang w:val="en-US"/>
        </w:rPr>
        <w:t>G</w:t>
      </w:r>
      <w:r w:rsidR="00544075" w:rsidRPr="001D7A36">
        <w:rPr>
          <w:rFonts w:ascii="Arial" w:hAnsi="Arial" w:cs="Arial"/>
        </w:rPr>
        <w:t xml:space="preserve"> </w:t>
      </w:r>
      <w:r w:rsidR="00544075" w:rsidRPr="008F3B54">
        <w:rPr>
          <w:rFonts w:ascii="Arial" w:hAnsi="Arial" w:cs="Arial"/>
          <w:lang w:val="en-US"/>
        </w:rPr>
        <w:t>Stand</w:t>
      </w:r>
      <w:r w:rsidR="00544075" w:rsidRPr="001D7A36">
        <w:rPr>
          <w:rFonts w:ascii="Arial" w:hAnsi="Arial" w:cs="Arial"/>
        </w:rPr>
        <w:t>-</w:t>
      </w:r>
      <w:r w:rsidR="00544075" w:rsidRPr="008F3B54">
        <w:rPr>
          <w:rFonts w:ascii="Arial" w:hAnsi="Arial" w:cs="Arial"/>
          <w:lang w:val="en-US"/>
        </w:rPr>
        <w:t>Alone</w:t>
      </w:r>
      <w:r w:rsidR="00544075" w:rsidRPr="001D7A36">
        <w:rPr>
          <w:rFonts w:ascii="Arial" w:hAnsi="Arial" w:cs="Arial"/>
        </w:rPr>
        <w:t xml:space="preserve"> (</w:t>
      </w:r>
      <w:r w:rsidR="00544075" w:rsidRPr="008F3B54">
        <w:rPr>
          <w:rFonts w:ascii="Arial" w:hAnsi="Arial" w:cs="Arial"/>
          <w:lang w:val="en-US"/>
        </w:rPr>
        <w:t>SA</w:t>
      </w:r>
      <w:r w:rsidR="00544075" w:rsidRPr="001D7A36">
        <w:rPr>
          <w:rFonts w:ascii="Arial" w:hAnsi="Arial" w:cs="Arial"/>
        </w:rPr>
        <w:t xml:space="preserve">), </w:t>
      </w:r>
      <w:r w:rsidR="00C406AD" w:rsidRPr="001D7A36">
        <w:rPr>
          <w:rFonts w:ascii="Arial" w:hAnsi="Arial" w:cs="Arial"/>
        </w:rPr>
        <w:t xml:space="preserve">θα ενισχύσει περαιτέρω την εμπειρία πελάτη, </w:t>
      </w:r>
      <w:r w:rsidR="00C406AD" w:rsidRPr="001D7A36">
        <w:rPr>
          <w:rFonts w:ascii="Arial" w:hAnsi="Arial" w:cs="Arial"/>
        </w:rPr>
        <w:lastRenderedPageBreak/>
        <w:t>παρέχοντας</w:t>
      </w:r>
      <w:r w:rsidR="00544075" w:rsidRPr="001D7A36">
        <w:rPr>
          <w:rFonts w:ascii="Arial" w:hAnsi="Arial" w:cs="Arial"/>
        </w:rPr>
        <w:t xml:space="preserve"> ακόμα μεγαλύτερη αξιοπιστία στις επικοινωνίες, </w:t>
      </w:r>
      <w:r w:rsidR="00BB4575" w:rsidRPr="001D7A36">
        <w:rPr>
          <w:rFonts w:ascii="Arial" w:hAnsi="Arial" w:cs="Arial"/>
        </w:rPr>
        <w:t>και, σταδιακά,</w:t>
      </w:r>
      <w:r w:rsidR="00544075" w:rsidRPr="001D7A36">
        <w:rPr>
          <w:rFonts w:ascii="Arial" w:hAnsi="Arial" w:cs="Arial"/>
        </w:rPr>
        <w:t xml:space="preserve"> ακόμα υψηλότερη ταχύτητα </w:t>
      </w:r>
      <w:r w:rsidR="00544075" w:rsidRPr="008F3B54">
        <w:rPr>
          <w:rFonts w:ascii="Arial" w:hAnsi="Arial" w:cs="Arial"/>
          <w:lang w:val="en-US"/>
        </w:rPr>
        <w:t>download</w:t>
      </w:r>
      <w:r w:rsidR="00544075" w:rsidRPr="001D7A36">
        <w:rPr>
          <w:rFonts w:ascii="Arial" w:hAnsi="Arial" w:cs="Arial"/>
        </w:rPr>
        <w:t xml:space="preserve"> και </w:t>
      </w:r>
      <w:r w:rsidR="00544075" w:rsidRPr="008F3B54">
        <w:rPr>
          <w:rFonts w:ascii="Arial" w:hAnsi="Arial" w:cs="Arial"/>
          <w:lang w:val="en-US"/>
        </w:rPr>
        <w:t>upload</w:t>
      </w:r>
      <w:r w:rsidR="00544075" w:rsidRPr="001D7A36">
        <w:rPr>
          <w:rFonts w:ascii="Arial" w:hAnsi="Arial" w:cs="Arial"/>
        </w:rPr>
        <w:t>, εξαιρετικά χαμηλή απόκριση (</w:t>
      </w:r>
      <w:r w:rsidR="00544075" w:rsidRPr="008F3B54">
        <w:rPr>
          <w:rFonts w:ascii="Arial" w:hAnsi="Arial" w:cs="Arial"/>
          <w:lang w:val="en-US"/>
        </w:rPr>
        <w:t>latency</w:t>
      </w:r>
      <w:r w:rsidR="00544075" w:rsidRPr="001D7A36">
        <w:rPr>
          <w:rFonts w:ascii="Arial" w:hAnsi="Arial" w:cs="Arial"/>
        </w:rPr>
        <w:t xml:space="preserve">), βελτιωμένη κάλυψη σε κλειστούς χώρους, φέρνοντας τη χώρα ένα βήμα πιο κοντά στην κοινωνία των </w:t>
      </w:r>
      <w:r w:rsidR="00544075" w:rsidRPr="008F3B54">
        <w:rPr>
          <w:rFonts w:ascii="Arial" w:hAnsi="Arial" w:cs="Arial"/>
          <w:lang w:val="en-US"/>
        </w:rPr>
        <w:t>Gigabit</w:t>
      </w:r>
      <w:r w:rsidR="00544075" w:rsidRPr="001D7A36">
        <w:rPr>
          <w:rFonts w:ascii="Arial" w:hAnsi="Arial" w:cs="Arial"/>
        </w:rPr>
        <w:t xml:space="preserve">. </w:t>
      </w:r>
    </w:p>
    <w:p w14:paraId="23A15180" w14:textId="720B156A" w:rsidR="00127627" w:rsidRPr="00402E4D" w:rsidRDefault="00A93A46" w:rsidP="00402E4D">
      <w:pPr>
        <w:pStyle w:val="NormalWeb"/>
        <w:shd w:val="clear" w:color="auto" w:fill="FFFFFF"/>
        <w:spacing w:after="0"/>
        <w:jc w:val="both"/>
        <w:rPr>
          <w:rFonts w:ascii="Arial" w:hAnsi="Arial" w:cs="Arial"/>
          <w:szCs w:val="20"/>
        </w:rPr>
      </w:pPr>
      <w:r>
        <w:rPr>
          <w:rFonts w:ascii="Arial" w:hAnsi="Arial" w:cs="Arial"/>
          <w:sz w:val="22"/>
          <w:szCs w:val="20"/>
          <w:lang w:eastAsia="en-US"/>
        </w:rPr>
        <w:t xml:space="preserve">Οι </w:t>
      </w:r>
      <w:r w:rsidR="00BB4575">
        <w:rPr>
          <w:rFonts w:ascii="Arial" w:hAnsi="Arial" w:cs="Arial"/>
          <w:sz w:val="22"/>
          <w:szCs w:val="20"/>
          <w:lang w:eastAsia="en-US"/>
        </w:rPr>
        <w:t xml:space="preserve">συνεχείς </w:t>
      </w:r>
      <w:r w:rsidR="00D30281">
        <w:rPr>
          <w:rFonts w:ascii="Arial" w:hAnsi="Arial" w:cs="Arial"/>
          <w:sz w:val="22"/>
          <w:szCs w:val="20"/>
          <w:lang w:eastAsia="en-US"/>
        </w:rPr>
        <w:t xml:space="preserve">επενδύσεις στο δίκτυο κινητής </w:t>
      </w:r>
      <w:r w:rsidR="00BB4575">
        <w:rPr>
          <w:rFonts w:ascii="Arial" w:hAnsi="Arial" w:cs="Arial"/>
          <w:sz w:val="22"/>
          <w:szCs w:val="20"/>
          <w:lang w:eastAsia="en-US"/>
        </w:rPr>
        <w:t xml:space="preserve">οδηγούν σε πλήθος </w:t>
      </w:r>
      <w:r w:rsidR="0006072E">
        <w:rPr>
          <w:rFonts w:ascii="Arial" w:hAnsi="Arial" w:cs="Arial"/>
          <w:sz w:val="22"/>
          <w:szCs w:val="20"/>
          <w:lang w:eastAsia="en-US"/>
        </w:rPr>
        <w:t>διακρίσεων</w:t>
      </w:r>
      <w:r w:rsidR="00D30281">
        <w:rPr>
          <w:rFonts w:ascii="Arial" w:hAnsi="Arial" w:cs="Arial"/>
          <w:sz w:val="22"/>
          <w:szCs w:val="20"/>
          <w:lang w:eastAsia="en-US"/>
        </w:rPr>
        <w:t>.</w:t>
      </w:r>
      <w:r w:rsidR="00FF753B">
        <w:rPr>
          <w:rFonts w:ascii="Arial" w:hAnsi="Arial" w:cs="Arial"/>
          <w:sz w:val="22"/>
          <w:szCs w:val="20"/>
          <w:lang w:eastAsia="en-US"/>
        </w:rPr>
        <w:t xml:space="preserve"> </w:t>
      </w:r>
      <w:r w:rsidR="0038786E" w:rsidRPr="006A1681">
        <w:rPr>
          <w:rFonts w:ascii="Arial" w:hAnsi="Arial" w:cs="Arial"/>
          <w:sz w:val="22"/>
          <w:szCs w:val="20"/>
          <w:lang w:eastAsia="en-US"/>
        </w:rPr>
        <w:t xml:space="preserve">Το δίκτυο </w:t>
      </w:r>
      <w:r w:rsidR="0072335C">
        <w:rPr>
          <w:rFonts w:ascii="Arial" w:hAnsi="Arial" w:cs="Arial"/>
          <w:sz w:val="22"/>
          <w:szCs w:val="20"/>
          <w:lang w:eastAsia="en-US"/>
        </w:rPr>
        <w:t>του ΟΤΕ</w:t>
      </w:r>
      <w:r w:rsidR="007F1B23">
        <w:rPr>
          <w:rFonts w:ascii="Arial" w:hAnsi="Arial" w:cs="Arial"/>
          <w:sz w:val="22"/>
          <w:szCs w:val="20"/>
          <w:lang w:eastAsia="en-US"/>
        </w:rPr>
        <w:t xml:space="preserve"> είναι ένα από τα </w:t>
      </w:r>
      <w:r w:rsidR="00172B18">
        <w:rPr>
          <w:rFonts w:ascii="Arial" w:hAnsi="Arial" w:cs="Arial"/>
          <w:sz w:val="22"/>
          <w:szCs w:val="20"/>
          <w:lang w:eastAsia="en-US"/>
        </w:rPr>
        <w:t xml:space="preserve">μόλις </w:t>
      </w:r>
      <w:r w:rsidR="007F1B23">
        <w:rPr>
          <w:rFonts w:ascii="Arial" w:hAnsi="Arial" w:cs="Arial"/>
          <w:sz w:val="22"/>
          <w:szCs w:val="20"/>
          <w:lang w:eastAsia="en-US"/>
        </w:rPr>
        <w:t xml:space="preserve">τρία δίκτυα </w:t>
      </w:r>
      <w:r w:rsidR="0072335C">
        <w:rPr>
          <w:rFonts w:ascii="Arial" w:hAnsi="Arial" w:cs="Arial"/>
          <w:sz w:val="22"/>
          <w:szCs w:val="20"/>
          <w:lang w:eastAsia="en-US"/>
        </w:rPr>
        <w:t xml:space="preserve">κινητής </w:t>
      </w:r>
      <w:r w:rsidR="00172B18">
        <w:rPr>
          <w:rFonts w:ascii="Arial" w:hAnsi="Arial" w:cs="Arial"/>
          <w:sz w:val="22"/>
          <w:szCs w:val="20"/>
          <w:lang w:eastAsia="en-US"/>
        </w:rPr>
        <w:t>παγκοσμίως</w:t>
      </w:r>
      <w:r w:rsidR="0072335C">
        <w:rPr>
          <w:rFonts w:ascii="Arial" w:hAnsi="Arial" w:cs="Arial"/>
          <w:sz w:val="22"/>
          <w:szCs w:val="20"/>
          <w:lang w:eastAsia="en-US"/>
        </w:rPr>
        <w:t xml:space="preserve"> </w:t>
      </w:r>
      <w:r w:rsidR="00172B18">
        <w:rPr>
          <w:rFonts w:ascii="Arial" w:hAnsi="Arial" w:cs="Arial"/>
          <w:sz w:val="22"/>
          <w:szCs w:val="20"/>
          <w:lang w:eastAsia="en-US"/>
        </w:rPr>
        <w:t>με</w:t>
      </w:r>
      <w:r w:rsidR="007F1B23" w:rsidRPr="00467B64">
        <w:rPr>
          <w:rFonts w:ascii="Arial" w:hAnsi="Arial" w:cs="Arial"/>
          <w:sz w:val="22"/>
          <w:szCs w:val="20"/>
          <w:lang w:eastAsia="en-US"/>
        </w:rPr>
        <w:t xml:space="preserve"> πιστοποίηση «Best in Test» από την umlaut για δέκατη συνεχόμενη χρονιά</w:t>
      </w:r>
      <w:r w:rsidR="00BB4575">
        <w:rPr>
          <w:rFonts w:ascii="Arial" w:hAnsi="Arial" w:cs="Arial"/>
          <w:sz w:val="22"/>
          <w:szCs w:val="20"/>
          <w:lang w:eastAsia="en-US"/>
        </w:rPr>
        <w:t xml:space="preserve">, ενώ </w:t>
      </w:r>
      <w:r w:rsidR="0006072E">
        <w:rPr>
          <w:rFonts w:ascii="Arial" w:hAnsi="Arial" w:cs="Arial"/>
          <w:sz w:val="22"/>
          <w:szCs w:val="20"/>
          <w:lang w:eastAsia="en-US"/>
        </w:rPr>
        <w:t>διακρίθηκε</w:t>
      </w:r>
      <w:r w:rsidR="00EF6AE3">
        <w:rPr>
          <w:rFonts w:ascii="Arial" w:hAnsi="Arial" w:cs="Arial"/>
          <w:sz w:val="22"/>
          <w:szCs w:val="20"/>
          <w:lang w:eastAsia="en-US"/>
        </w:rPr>
        <w:t xml:space="preserve"> </w:t>
      </w:r>
      <w:r w:rsidR="00BB4575">
        <w:rPr>
          <w:rFonts w:ascii="Arial" w:hAnsi="Arial" w:cs="Arial"/>
          <w:sz w:val="22"/>
          <w:szCs w:val="20"/>
          <w:lang w:eastAsia="en-US"/>
        </w:rPr>
        <w:t xml:space="preserve">και </w:t>
      </w:r>
      <w:r w:rsidR="00E5286F" w:rsidRPr="00467B64">
        <w:rPr>
          <w:rFonts w:ascii="Arial" w:hAnsi="Arial" w:cs="Arial"/>
          <w:sz w:val="22"/>
          <w:szCs w:val="20"/>
          <w:lang w:eastAsia="en-US"/>
        </w:rPr>
        <w:t xml:space="preserve">ως «το πιο γρήγορο δίκτυο κινητής στην Ελλάδα», στα </w:t>
      </w:r>
      <w:r w:rsidR="008F3B54" w:rsidRPr="00883D8F">
        <w:rPr>
          <w:rFonts w:ascii="Arial" w:hAnsi="Arial" w:cs="Arial"/>
          <w:sz w:val="22"/>
          <w:szCs w:val="22"/>
        </w:rPr>
        <w:t>Speedtest Awards</w:t>
      </w:r>
      <w:r w:rsidR="008F3B54" w:rsidRPr="00883D8F">
        <w:rPr>
          <w:rFonts w:ascii="Arial" w:hAnsi="Arial" w:cs="Arial"/>
          <w:sz w:val="22"/>
          <w:szCs w:val="22"/>
          <w:vertAlign w:val="superscript"/>
        </w:rPr>
        <w:t>TM</w:t>
      </w:r>
      <w:r w:rsidR="008F3B54">
        <w:rPr>
          <w:rFonts w:ascii="Arial" w:hAnsi="Arial" w:cs="Arial"/>
          <w:sz w:val="22"/>
          <w:szCs w:val="22"/>
          <w:vertAlign w:val="superscript"/>
        </w:rPr>
        <w:t xml:space="preserve"> </w:t>
      </w:r>
      <w:r w:rsidR="00E5286F" w:rsidRPr="006A1681">
        <w:rPr>
          <w:rFonts w:ascii="Arial" w:hAnsi="Arial" w:cs="Arial"/>
          <w:sz w:val="22"/>
          <w:szCs w:val="20"/>
          <w:lang w:eastAsia="en-US"/>
        </w:rPr>
        <w:t>της Ookla®</w:t>
      </w:r>
      <w:r w:rsidR="00E5286F">
        <w:rPr>
          <w:rFonts w:ascii="Arial" w:hAnsi="Arial" w:cs="Arial"/>
          <w:sz w:val="22"/>
          <w:szCs w:val="20"/>
          <w:lang w:eastAsia="en-US"/>
        </w:rPr>
        <w:t xml:space="preserve"> </w:t>
      </w:r>
      <w:r w:rsidR="0006072E" w:rsidRPr="00467B64">
        <w:rPr>
          <w:rFonts w:ascii="Arial" w:hAnsi="Arial" w:cs="Arial"/>
          <w:sz w:val="22"/>
          <w:szCs w:val="20"/>
          <w:lang w:eastAsia="en-US"/>
        </w:rPr>
        <w:t>για όγδοη συνεχόμενη χρονιά</w:t>
      </w:r>
      <w:r w:rsidR="0006072E">
        <w:rPr>
          <w:rFonts w:ascii="Arial" w:hAnsi="Arial" w:cs="Arial"/>
          <w:sz w:val="22"/>
          <w:szCs w:val="20"/>
          <w:lang w:eastAsia="en-US"/>
        </w:rPr>
        <w:t>.</w:t>
      </w:r>
      <w:r w:rsidR="00732C8E">
        <w:rPr>
          <w:rFonts w:ascii="Arial" w:hAnsi="Arial" w:cs="Arial"/>
          <w:sz w:val="22"/>
          <w:szCs w:val="20"/>
          <w:lang w:eastAsia="en-US"/>
        </w:rPr>
        <w:t xml:space="preserve"> </w:t>
      </w:r>
      <w:r w:rsidR="00E673C9" w:rsidRPr="00467B64">
        <w:rPr>
          <w:rFonts w:ascii="Arial" w:hAnsi="Arial" w:cs="Arial"/>
          <w:sz w:val="22"/>
          <w:szCs w:val="20"/>
          <w:lang w:eastAsia="en-US"/>
        </w:rPr>
        <w:t xml:space="preserve">Η αναγνώριση της κορυφαίας ποιότητας του δικτύου, αλλά και οι συνεχείς επενδύσεις, </w:t>
      </w:r>
      <w:r w:rsidR="00EA32FA">
        <w:rPr>
          <w:rFonts w:ascii="Arial" w:hAnsi="Arial" w:cs="Arial"/>
          <w:sz w:val="22"/>
          <w:szCs w:val="20"/>
          <w:lang w:eastAsia="en-US"/>
        </w:rPr>
        <w:t xml:space="preserve">ενισχύουν </w:t>
      </w:r>
      <w:r w:rsidR="00E673C9" w:rsidRPr="00467B64">
        <w:rPr>
          <w:rFonts w:ascii="Arial" w:hAnsi="Arial" w:cs="Arial"/>
          <w:sz w:val="22"/>
          <w:szCs w:val="20"/>
          <w:lang w:eastAsia="en-US"/>
        </w:rPr>
        <w:t xml:space="preserve">την εμπιστοσύνη των πελατών και οδηγούν σε </w:t>
      </w:r>
      <w:r w:rsidR="00EA32FA">
        <w:rPr>
          <w:rFonts w:ascii="Arial" w:hAnsi="Arial" w:cs="Arial"/>
          <w:sz w:val="22"/>
          <w:szCs w:val="20"/>
          <w:lang w:eastAsia="en-US"/>
        </w:rPr>
        <w:t>ενίσχυση των</w:t>
      </w:r>
      <w:r w:rsidR="00EA32FA" w:rsidRPr="00467B64">
        <w:rPr>
          <w:rFonts w:ascii="Arial" w:hAnsi="Arial" w:cs="Arial"/>
          <w:sz w:val="22"/>
          <w:szCs w:val="20"/>
          <w:lang w:eastAsia="en-US"/>
        </w:rPr>
        <w:t xml:space="preserve"> </w:t>
      </w:r>
      <w:r w:rsidR="00E673C9" w:rsidRPr="00467B64">
        <w:rPr>
          <w:rFonts w:ascii="Arial" w:hAnsi="Arial" w:cs="Arial"/>
          <w:sz w:val="22"/>
          <w:szCs w:val="20"/>
          <w:lang w:eastAsia="en-US"/>
        </w:rPr>
        <w:t xml:space="preserve">εσόδων. </w:t>
      </w:r>
    </w:p>
    <w:p w14:paraId="37915F45" w14:textId="77777777" w:rsidR="00127627" w:rsidRDefault="00127627" w:rsidP="00AB5D12">
      <w:pPr>
        <w:spacing w:after="0" w:line="240" w:lineRule="auto"/>
        <w:jc w:val="both"/>
        <w:rPr>
          <w:rFonts w:ascii="Arial" w:hAnsi="Arial" w:cs="Arial"/>
          <w:shd w:val="clear" w:color="auto" w:fill="FFFFFF" w:themeFill="background1"/>
        </w:rPr>
      </w:pPr>
    </w:p>
    <w:tbl>
      <w:tblPr>
        <w:tblStyle w:val="TableGrid"/>
        <w:tblW w:w="1062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7"/>
        <w:gridCol w:w="1045"/>
        <w:gridCol w:w="1085"/>
        <w:gridCol w:w="1167"/>
        <w:gridCol w:w="1167"/>
        <w:gridCol w:w="1167"/>
        <w:gridCol w:w="1167"/>
      </w:tblGrid>
      <w:tr w:rsidR="00127038" w:rsidRPr="008263F5" w14:paraId="6A451E0A" w14:textId="77777777" w:rsidTr="00744EE5">
        <w:trPr>
          <w:trHeight w:val="408"/>
        </w:trPr>
        <w:tc>
          <w:tcPr>
            <w:tcW w:w="3827"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56A80E" w14:textId="696FF53B" w:rsidR="00127038" w:rsidRPr="000E74C4" w:rsidRDefault="00127038" w:rsidP="00744EE5">
            <w:pPr>
              <w:tabs>
                <w:tab w:val="left" w:pos="4047"/>
              </w:tabs>
              <w:ind w:left="-108"/>
              <w:rPr>
                <w:rFonts w:ascii="Arial" w:hAnsi="Arial" w:cs="Arial"/>
                <w:i/>
                <w:color w:val="000000" w:themeColor="text1"/>
                <w:lang w:val="el-GR"/>
              </w:rPr>
            </w:pPr>
            <w:bookmarkStart w:id="3" w:name="_Hlk147520562"/>
            <w:r w:rsidRPr="001D7A36">
              <w:rPr>
                <w:rFonts w:ascii="Arial" w:hAnsi="Arial" w:cs="Arial"/>
                <w:b/>
                <w:color w:val="000000" w:themeColor="text1"/>
                <w:lang w:val="el-GR"/>
              </w:rPr>
              <w:t xml:space="preserve"> </w:t>
            </w:r>
            <w:r w:rsidR="000E74C4" w:rsidRPr="000E74C4">
              <w:rPr>
                <w:rFonts w:ascii="Arial" w:hAnsi="Arial" w:cs="Arial"/>
                <w:b/>
                <w:bCs/>
                <w:lang w:val="el-GR"/>
              </w:rPr>
              <w:t>Χρηματοοικονομικά Στοιχεία</w:t>
            </w:r>
            <w:r w:rsidRPr="000E74C4">
              <w:rPr>
                <w:rFonts w:ascii="Arial" w:hAnsi="Arial" w:cs="Arial"/>
                <w:b/>
                <w:bCs/>
              </w:rPr>
              <w:t xml:space="preserve"> </w:t>
            </w:r>
            <w:r w:rsidR="000E74C4">
              <w:rPr>
                <w:rFonts w:ascii="Arial" w:hAnsi="Arial" w:cs="Arial"/>
                <w:b/>
                <w:bCs/>
                <w:lang w:val="el-GR"/>
              </w:rPr>
              <w:t>(</w:t>
            </w:r>
            <w:r w:rsidRPr="000E74C4">
              <w:rPr>
                <w:rFonts w:ascii="Arial" w:hAnsi="Arial" w:cs="Arial"/>
                <w:b/>
                <w:bCs/>
              </w:rPr>
              <w:t>Εκατ. €</w:t>
            </w:r>
            <w:r w:rsidR="000E74C4">
              <w:rPr>
                <w:rFonts w:ascii="Arial" w:hAnsi="Arial" w:cs="Arial"/>
                <w:b/>
                <w:bCs/>
                <w:lang w:val="el-GR"/>
              </w:rPr>
              <w:t>)</w:t>
            </w:r>
          </w:p>
        </w:tc>
        <w:tc>
          <w:tcPr>
            <w:tcW w:w="10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679E100" w14:textId="77777777" w:rsidR="00127038" w:rsidRPr="008263F5" w:rsidRDefault="00127038" w:rsidP="00744EE5">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Q4'24</w:t>
            </w:r>
          </w:p>
        </w:tc>
        <w:tc>
          <w:tcPr>
            <w:tcW w:w="1085" w:type="dxa"/>
            <w:tcBorders>
              <w:top w:val="single" w:sz="2" w:space="0" w:color="808080" w:themeColor="background1" w:themeShade="80"/>
              <w:left w:val="nil"/>
              <w:bottom w:val="single" w:sz="2" w:space="0" w:color="808080" w:themeColor="background1" w:themeShade="80"/>
              <w:right w:val="nil"/>
            </w:tcBorders>
            <w:vAlign w:val="center"/>
          </w:tcPr>
          <w:p w14:paraId="7CB99483" w14:textId="77777777" w:rsidR="00127038" w:rsidRPr="008263F5" w:rsidRDefault="00127038" w:rsidP="00744EE5">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Q4'23</w:t>
            </w:r>
          </w:p>
        </w:tc>
        <w:tc>
          <w:tcPr>
            <w:tcW w:w="116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6836BC9" w14:textId="77777777" w:rsidR="00127038" w:rsidRPr="00E01011" w:rsidRDefault="00127038" w:rsidP="00744EE5">
            <w:pPr>
              <w:pStyle w:val="ColorfulList-Accent11"/>
              <w:tabs>
                <w:tab w:val="left" w:pos="0"/>
                <w:tab w:val="left" w:pos="284"/>
              </w:tabs>
              <w:ind w:left="0" w:right="-90"/>
              <w:jc w:val="center"/>
              <w:rPr>
                <w:rFonts w:ascii="Arial" w:hAnsi="Arial" w:cs="Arial"/>
                <w:i/>
                <w:color w:val="000000" w:themeColor="text1"/>
              </w:rPr>
            </w:pPr>
            <w:r>
              <w:rPr>
                <w:rFonts w:ascii="Arial" w:hAnsi="Arial" w:cs="Arial"/>
                <w:b/>
                <w:color w:val="000000" w:themeColor="text1"/>
                <w:sz w:val="22"/>
                <w:szCs w:val="22"/>
              </w:rPr>
              <w:t>y-o-y</w:t>
            </w:r>
          </w:p>
        </w:tc>
        <w:tc>
          <w:tcPr>
            <w:tcW w:w="116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ACAE426" w14:textId="7777777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12M'24</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449F4F76" w14:textId="7777777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12M'23</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2EB82A8D" w14:textId="7777777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sz w:val="22"/>
                <w:szCs w:val="22"/>
                <w:lang w:val="el-GR"/>
              </w:rPr>
            </w:pPr>
            <w:r>
              <w:rPr>
                <w:rFonts w:ascii="Arial" w:hAnsi="Arial" w:cs="Arial"/>
                <w:b/>
                <w:color w:val="000000" w:themeColor="text1"/>
                <w:sz w:val="22"/>
                <w:szCs w:val="22"/>
              </w:rPr>
              <w:t>y-o-y</w:t>
            </w:r>
          </w:p>
        </w:tc>
      </w:tr>
      <w:tr w:rsidR="00127038" w:rsidRPr="008263F5" w14:paraId="42773C77" w14:textId="77777777" w:rsidTr="00744EE5">
        <w:trPr>
          <w:trHeight w:val="306"/>
        </w:trPr>
        <w:tc>
          <w:tcPr>
            <w:tcW w:w="3827"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89E5606" w14:textId="57F83A16"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b/>
                <w:color w:val="000000" w:themeColor="text1"/>
                <w:lang w:val="el-GR"/>
              </w:rPr>
              <w:t>Κύκλος Εργασιών</w:t>
            </w:r>
          </w:p>
        </w:tc>
        <w:tc>
          <w:tcPr>
            <w:tcW w:w="1045"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6D570FB3" w14:textId="07C581B7"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b/>
                <w:bCs/>
                <w:color w:val="000000" w:themeColor="text1"/>
              </w:rPr>
              <w:t>843</w:t>
            </w:r>
            <w:r w:rsidR="00084951">
              <w:rPr>
                <w:rFonts w:ascii="Arial" w:hAnsi="Arial" w:cs="Arial"/>
                <w:b/>
                <w:bCs/>
                <w:color w:val="000000" w:themeColor="text1"/>
              </w:rPr>
              <w:t>,</w:t>
            </w:r>
            <w:r w:rsidRPr="008263F5">
              <w:rPr>
                <w:rFonts w:ascii="Arial" w:hAnsi="Arial" w:cs="Arial"/>
                <w:b/>
                <w:bCs/>
                <w:color w:val="000000" w:themeColor="text1"/>
              </w:rPr>
              <w:t>1</w:t>
            </w:r>
          </w:p>
        </w:tc>
        <w:tc>
          <w:tcPr>
            <w:tcW w:w="1085" w:type="dxa"/>
            <w:tcBorders>
              <w:top w:val="single" w:sz="2" w:space="0" w:color="808080" w:themeColor="background1" w:themeShade="80"/>
              <w:left w:val="nil"/>
              <w:bottom w:val="nil"/>
              <w:right w:val="nil"/>
            </w:tcBorders>
            <w:shd w:val="clear" w:color="auto" w:fill="F2F2F2" w:themeFill="background1" w:themeFillShade="F2"/>
            <w:vAlign w:val="center"/>
          </w:tcPr>
          <w:p w14:paraId="4002390B" w14:textId="1654F8B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b/>
                <w:bCs/>
                <w:color w:val="000000" w:themeColor="text1"/>
              </w:rPr>
              <w:t>854</w:t>
            </w:r>
            <w:r w:rsidR="00084951">
              <w:rPr>
                <w:rFonts w:ascii="Arial" w:hAnsi="Arial" w:cs="Arial"/>
                <w:b/>
                <w:bCs/>
                <w:color w:val="000000" w:themeColor="text1"/>
              </w:rPr>
              <w:t>,</w:t>
            </w:r>
            <w:r w:rsidRPr="008263F5">
              <w:rPr>
                <w:rFonts w:ascii="Arial" w:hAnsi="Arial" w:cs="Arial"/>
                <w:b/>
                <w:bCs/>
                <w:color w:val="000000" w:themeColor="text1"/>
              </w:rPr>
              <w:t>8</w:t>
            </w:r>
          </w:p>
        </w:tc>
        <w:tc>
          <w:tcPr>
            <w:tcW w:w="1167"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30532DF1" w14:textId="12C3DE1A"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4%</w:t>
            </w:r>
          </w:p>
        </w:tc>
        <w:tc>
          <w:tcPr>
            <w:tcW w:w="116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2165351" w14:textId="6236F5B8"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w:t>
            </w:r>
            <w:r w:rsidR="00084951">
              <w:rPr>
                <w:rFonts w:ascii="Arial" w:hAnsi="Arial" w:cs="Arial"/>
                <w:b/>
                <w:bCs/>
                <w:color w:val="000000" w:themeColor="text1"/>
              </w:rPr>
              <w:t>.</w:t>
            </w:r>
            <w:r w:rsidRPr="008263F5">
              <w:rPr>
                <w:rFonts w:ascii="Arial" w:hAnsi="Arial" w:cs="Arial"/>
                <w:b/>
                <w:bCs/>
                <w:color w:val="000000" w:themeColor="text1"/>
              </w:rPr>
              <w:t>334</w:t>
            </w:r>
            <w:r w:rsidR="00084951">
              <w:rPr>
                <w:rFonts w:ascii="Arial" w:hAnsi="Arial" w:cs="Arial"/>
                <w:b/>
                <w:bCs/>
                <w:color w:val="000000" w:themeColor="text1"/>
              </w:rPr>
              <w:t>,</w:t>
            </w:r>
            <w:r w:rsidRPr="008263F5">
              <w:rPr>
                <w:rFonts w:ascii="Arial" w:hAnsi="Arial" w:cs="Arial"/>
                <w:b/>
                <w:bCs/>
                <w:color w:val="000000" w:themeColor="text1"/>
              </w:rPr>
              <w:t>0</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2D86F8F5" w14:textId="77C277C1"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w:t>
            </w:r>
            <w:r w:rsidR="00084951">
              <w:rPr>
                <w:rFonts w:ascii="Arial" w:hAnsi="Arial" w:cs="Arial"/>
                <w:b/>
                <w:bCs/>
                <w:color w:val="000000" w:themeColor="text1"/>
              </w:rPr>
              <w:t>.</w:t>
            </w:r>
            <w:r w:rsidRPr="008263F5">
              <w:rPr>
                <w:rFonts w:ascii="Arial" w:hAnsi="Arial" w:cs="Arial"/>
                <w:b/>
                <w:bCs/>
                <w:color w:val="000000" w:themeColor="text1"/>
              </w:rPr>
              <w:t>189</w:t>
            </w:r>
            <w:r w:rsidR="00084951">
              <w:rPr>
                <w:rFonts w:ascii="Arial" w:hAnsi="Arial" w:cs="Arial"/>
                <w:b/>
                <w:bCs/>
                <w:color w:val="000000" w:themeColor="text1"/>
              </w:rPr>
              <w:t>,</w:t>
            </w:r>
            <w:r w:rsidRPr="008263F5">
              <w:rPr>
                <w:rFonts w:ascii="Arial" w:hAnsi="Arial" w:cs="Arial"/>
                <w:b/>
                <w:bCs/>
                <w:color w:val="000000" w:themeColor="text1"/>
              </w:rPr>
              <w:t>4</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2E09A121" w14:textId="151F9D9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4</w:t>
            </w:r>
            <w:r w:rsidR="00084951">
              <w:rPr>
                <w:rFonts w:ascii="Arial" w:hAnsi="Arial" w:cs="Arial"/>
                <w:b/>
                <w:bCs/>
                <w:color w:val="000000" w:themeColor="text1"/>
              </w:rPr>
              <w:t>,</w:t>
            </w:r>
            <w:r w:rsidRPr="008263F5">
              <w:rPr>
                <w:rFonts w:ascii="Arial" w:hAnsi="Arial" w:cs="Arial"/>
                <w:b/>
                <w:bCs/>
                <w:color w:val="000000" w:themeColor="text1"/>
              </w:rPr>
              <w:t>5%</w:t>
            </w:r>
          </w:p>
        </w:tc>
      </w:tr>
      <w:tr w:rsidR="00127038" w:rsidRPr="008263F5" w14:paraId="32B068AB"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73577406" w14:textId="1517183C"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λιανικής σταθερής</w:t>
            </w:r>
          </w:p>
        </w:tc>
        <w:tc>
          <w:tcPr>
            <w:tcW w:w="1045" w:type="dxa"/>
            <w:tcBorders>
              <w:top w:val="nil"/>
              <w:left w:val="single" w:sz="2" w:space="0" w:color="808080" w:themeColor="background1" w:themeShade="80"/>
              <w:bottom w:val="nil"/>
              <w:right w:val="nil"/>
            </w:tcBorders>
            <w:shd w:val="clear" w:color="auto" w:fill="auto"/>
            <w:vAlign w:val="center"/>
          </w:tcPr>
          <w:p w14:paraId="7D0AFF5D" w14:textId="4544D60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226</w:t>
            </w:r>
            <w:r w:rsidR="00084951">
              <w:rPr>
                <w:rFonts w:ascii="Arial" w:hAnsi="Arial" w:cs="Arial"/>
                <w:color w:val="000000" w:themeColor="text1"/>
              </w:rPr>
              <w:t>,</w:t>
            </w:r>
            <w:r w:rsidRPr="008263F5">
              <w:rPr>
                <w:rFonts w:ascii="Arial" w:hAnsi="Arial" w:cs="Arial"/>
                <w:color w:val="000000" w:themeColor="text1"/>
              </w:rPr>
              <w:t>8</w:t>
            </w:r>
          </w:p>
        </w:tc>
        <w:tc>
          <w:tcPr>
            <w:tcW w:w="1085" w:type="dxa"/>
            <w:tcBorders>
              <w:top w:val="nil"/>
              <w:left w:val="nil"/>
              <w:bottom w:val="nil"/>
              <w:right w:val="nil"/>
            </w:tcBorders>
            <w:shd w:val="clear" w:color="auto" w:fill="auto"/>
            <w:vAlign w:val="center"/>
          </w:tcPr>
          <w:p w14:paraId="29F39649" w14:textId="3462F87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230</w:t>
            </w:r>
            <w:r w:rsidR="00084951">
              <w:rPr>
                <w:rFonts w:ascii="Arial" w:hAnsi="Arial" w:cs="Arial"/>
                <w:color w:val="000000" w:themeColor="text1"/>
              </w:rPr>
              <w:t>,</w:t>
            </w:r>
            <w:r w:rsidRPr="008263F5">
              <w:rPr>
                <w:rFonts w:ascii="Arial" w:hAnsi="Arial" w:cs="Arial"/>
                <w:color w:val="000000" w:themeColor="text1"/>
              </w:rPr>
              <w:t>1</w:t>
            </w:r>
          </w:p>
        </w:tc>
        <w:tc>
          <w:tcPr>
            <w:tcW w:w="1167" w:type="dxa"/>
            <w:tcBorders>
              <w:top w:val="nil"/>
              <w:left w:val="nil"/>
              <w:bottom w:val="nil"/>
              <w:right w:val="single" w:sz="2" w:space="0" w:color="808080" w:themeColor="background1" w:themeShade="80"/>
            </w:tcBorders>
            <w:shd w:val="clear" w:color="auto" w:fill="auto"/>
            <w:vAlign w:val="center"/>
          </w:tcPr>
          <w:p w14:paraId="00D93FF9" w14:textId="11D54BB9"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4%</w:t>
            </w:r>
          </w:p>
        </w:tc>
        <w:tc>
          <w:tcPr>
            <w:tcW w:w="1167" w:type="dxa"/>
            <w:tcBorders>
              <w:top w:val="nil"/>
              <w:left w:val="single" w:sz="2" w:space="0" w:color="808080" w:themeColor="background1" w:themeShade="80"/>
              <w:bottom w:val="nil"/>
              <w:right w:val="nil"/>
            </w:tcBorders>
            <w:vAlign w:val="center"/>
          </w:tcPr>
          <w:p w14:paraId="2977D194" w14:textId="68D751AC"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911</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nil"/>
            </w:tcBorders>
            <w:vAlign w:val="center"/>
          </w:tcPr>
          <w:p w14:paraId="74AFF55A" w14:textId="6E0FD48B"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915</w:t>
            </w:r>
            <w:r w:rsidR="00084951">
              <w:rPr>
                <w:rFonts w:ascii="Arial" w:hAnsi="Arial" w:cs="Arial"/>
                <w:color w:val="000000" w:themeColor="text1"/>
              </w:rPr>
              <w:t>,</w:t>
            </w:r>
            <w:r w:rsidRPr="008263F5">
              <w:rPr>
                <w:rFonts w:ascii="Arial" w:hAnsi="Arial" w:cs="Arial"/>
                <w:color w:val="000000" w:themeColor="text1"/>
              </w:rPr>
              <w:t>1</w:t>
            </w:r>
          </w:p>
        </w:tc>
        <w:tc>
          <w:tcPr>
            <w:tcW w:w="1167" w:type="dxa"/>
            <w:tcBorders>
              <w:top w:val="nil"/>
              <w:left w:val="nil"/>
              <w:bottom w:val="nil"/>
              <w:right w:val="nil"/>
            </w:tcBorders>
            <w:vAlign w:val="center"/>
          </w:tcPr>
          <w:p w14:paraId="1D647A31" w14:textId="3D351251"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-0</w:t>
            </w:r>
            <w:r w:rsidR="00084951">
              <w:rPr>
                <w:rFonts w:ascii="Arial" w:hAnsi="Arial" w:cs="Arial"/>
                <w:color w:val="000000" w:themeColor="text1"/>
              </w:rPr>
              <w:t>,</w:t>
            </w:r>
            <w:r w:rsidRPr="008263F5">
              <w:rPr>
                <w:rFonts w:ascii="Arial" w:hAnsi="Arial" w:cs="Arial"/>
                <w:color w:val="000000" w:themeColor="text1"/>
              </w:rPr>
              <w:t>4%</w:t>
            </w:r>
          </w:p>
        </w:tc>
      </w:tr>
      <w:tr w:rsidR="00127038" w:rsidRPr="008263F5" w14:paraId="1B80C759"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34AC2ACF" w14:textId="0F0CCEF9" w:rsidR="00127038" w:rsidRPr="00A14889" w:rsidRDefault="00127038" w:rsidP="00744EE5">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 xml:space="preserve">συμπ. </w:t>
            </w:r>
            <w:r>
              <w:rPr>
                <w:rFonts w:ascii="Arial" w:hAnsi="Arial" w:cs="Arial"/>
                <w:i/>
                <w:color w:val="000000" w:themeColor="text1"/>
              </w:rPr>
              <w:t>Data Com</w:t>
            </w:r>
            <w:r w:rsidRPr="00A14889">
              <w:rPr>
                <w:rFonts w:ascii="Arial" w:hAnsi="Arial" w:cs="Arial"/>
                <w:i/>
                <w:color w:val="000000" w:themeColor="text1"/>
              </w:rPr>
              <w:t>.</w:t>
            </w:r>
          </w:p>
        </w:tc>
        <w:tc>
          <w:tcPr>
            <w:tcW w:w="1045" w:type="dxa"/>
            <w:tcBorders>
              <w:top w:val="nil"/>
              <w:left w:val="single" w:sz="2" w:space="0" w:color="808080" w:themeColor="background1" w:themeShade="80"/>
              <w:bottom w:val="nil"/>
              <w:right w:val="nil"/>
            </w:tcBorders>
            <w:shd w:val="clear" w:color="auto" w:fill="auto"/>
            <w:vAlign w:val="center"/>
          </w:tcPr>
          <w:p w14:paraId="4BF31400" w14:textId="51A2E4E9"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251</w:t>
            </w:r>
            <w:r w:rsidR="00084951">
              <w:rPr>
                <w:rFonts w:ascii="Arial" w:hAnsi="Arial" w:cs="Arial"/>
                <w:i/>
                <w:color w:val="000000" w:themeColor="text1"/>
              </w:rPr>
              <w:t>,</w:t>
            </w:r>
            <w:r w:rsidRPr="00A14889">
              <w:rPr>
                <w:rFonts w:ascii="Arial" w:hAnsi="Arial" w:cs="Arial"/>
                <w:i/>
                <w:color w:val="000000" w:themeColor="text1"/>
              </w:rPr>
              <w:t>4</w:t>
            </w:r>
          </w:p>
        </w:tc>
        <w:tc>
          <w:tcPr>
            <w:tcW w:w="1085" w:type="dxa"/>
            <w:tcBorders>
              <w:top w:val="nil"/>
              <w:left w:val="nil"/>
              <w:bottom w:val="nil"/>
              <w:right w:val="nil"/>
            </w:tcBorders>
            <w:shd w:val="clear" w:color="auto" w:fill="auto"/>
            <w:vAlign w:val="center"/>
          </w:tcPr>
          <w:p w14:paraId="475324CF" w14:textId="0CE3FB07"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253</w:t>
            </w:r>
            <w:r w:rsidR="00084951">
              <w:rPr>
                <w:rFonts w:ascii="Arial" w:hAnsi="Arial" w:cs="Arial"/>
                <w:i/>
                <w:color w:val="000000" w:themeColor="text1"/>
              </w:rPr>
              <w:t>,</w:t>
            </w:r>
            <w:r w:rsidRPr="00A14889">
              <w:rPr>
                <w:rFonts w:ascii="Arial" w:hAnsi="Arial" w:cs="Arial"/>
                <w:i/>
                <w:color w:val="000000" w:themeColor="text1"/>
              </w:rPr>
              <w:t>8</w:t>
            </w:r>
          </w:p>
        </w:tc>
        <w:tc>
          <w:tcPr>
            <w:tcW w:w="1167" w:type="dxa"/>
            <w:tcBorders>
              <w:top w:val="nil"/>
              <w:left w:val="nil"/>
              <w:bottom w:val="nil"/>
              <w:right w:val="single" w:sz="2" w:space="0" w:color="808080" w:themeColor="background1" w:themeShade="80"/>
            </w:tcBorders>
            <w:shd w:val="clear" w:color="auto" w:fill="auto"/>
            <w:vAlign w:val="center"/>
          </w:tcPr>
          <w:p w14:paraId="5BB7E6C0" w14:textId="2A8D8F85"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w:t>
            </w:r>
            <w:r w:rsidR="006F7DAB">
              <w:rPr>
                <w:rFonts w:ascii="Arial" w:hAnsi="Arial" w:cs="Arial"/>
                <w:i/>
                <w:color w:val="000000" w:themeColor="text1"/>
              </w:rPr>
              <w:t>0,9</w:t>
            </w:r>
            <w:r w:rsidRPr="00A14889">
              <w:rPr>
                <w:rFonts w:ascii="Arial" w:hAnsi="Arial" w:cs="Arial"/>
                <w:i/>
                <w:color w:val="000000" w:themeColor="text1"/>
              </w:rPr>
              <w:t>%</w:t>
            </w:r>
          </w:p>
        </w:tc>
        <w:tc>
          <w:tcPr>
            <w:tcW w:w="1167" w:type="dxa"/>
            <w:tcBorders>
              <w:top w:val="nil"/>
              <w:left w:val="single" w:sz="2" w:space="0" w:color="808080" w:themeColor="background1" w:themeShade="80"/>
              <w:bottom w:val="nil"/>
              <w:right w:val="nil"/>
            </w:tcBorders>
            <w:vAlign w:val="center"/>
          </w:tcPr>
          <w:p w14:paraId="391C2D84" w14:textId="0028F264"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lang w:val="el-GR"/>
              </w:rPr>
            </w:pPr>
            <w:r w:rsidRPr="00A14889">
              <w:rPr>
                <w:rFonts w:ascii="Arial" w:hAnsi="Arial" w:cs="Arial"/>
                <w:i/>
                <w:color w:val="000000" w:themeColor="text1"/>
              </w:rPr>
              <w:t>1</w:t>
            </w:r>
            <w:r w:rsidR="00084951">
              <w:rPr>
                <w:rFonts w:ascii="Arial" w:hAnsi="Arial" w:cs="Arial"/>
                <w:i/>
                <w:color w:val="000000" w:themeColor="text1"/>
              </w:rPr>
              <w:t>.</w:t>
            </w:r>
            <w:r w:rsidRPr="00A14889">
              <w:rPr>
                <w:rFonts w:ascii="Arial" w:hAnsi="Arial" w:cs="Arial"/>
                <w:i/>
                <w:color w:val="000000" w:themeColor="text1"/>
              </w:rPr>
              <w:t>005</w:t>
            </w:r>
            <w:r w:rsidR="00084951">
              <w:rPr>
                <w:rFonts w:ascii="Arial" w:hAnsi="Arial" w:cs="Arial"/>
                <w:i/>
                <w:color w:val="000000" w:themeColor="text1"/>
              </w:rPr>
              <w:t>,</w:t>
            </w:r>
            <w:r w:rsidRPr="00A14889">
              <w:rPr>
                <w:rFonts w:ascii="Arial" w:hAnsi="Arial" w:cs="Arial"/>
                <w:i/>
                <w:color w:val="000000" w:themeColor="text1"/>
              </w:rPr>
              <w:t>4</w:t>
            </w:r>
          </w:p>
        </w:tc>
        <w:tc>
          <w:tcPr>
            <w:tcW w:w="1167" w:type="dxa"/>
            <w:tcBorders>
              <w:top w:val="nil"/>
              <w:left w:val="nil"/>
              <w:bottom w:val="nil"/>
              <w:right w:val="nil"/>
            </w:tcBorders>
            <w:vAlign w:val="center"/>
          </w:tcPr>
          <w:p w14:paraId="090AEBA9" w14:textId="7601E82A"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1</w:t>
            </w:r>
            <w:r w:rsidR="00084951">
              <w:rPr>
                <w:rFonts w:ascii="Arial" w:hAnsi="Arial" w:cs="Arial"/>
                <w:i/>
                <w:color w:val="000000" w:themeColor="text1"/>
              </w:rPr>
              <w:t>.</w:t>
            </w:r>
            <w:r w:rsidRPr="00A14889">
              <w:rPr>
                <w:rFonts w:ascii="Arial" w:hAnsi="Arial" w:cs="Arial"/>
                <w:i/>
                <w:color w:val="000000" w:themeColor="text1"/>
              </w:rPr>
              <w:t>007</w:t>
            </w:r>
            <w:r w:rsidR="00084951">
              <w:rPr>
                <w:rFonts w:ascii="Arial" w:hAnsi="Arial" w:cs="Arial"/>
                <w:i/>
                <w:color w:val="000000" w:themeColor="text1"/>
              </w:rPr>
              <w:t>,</w:t>
            </w:r>
            <w:r w:rsidRPr="00A14889">
              <w:rPr>
                <w:rFonts w:ascii="Arial" w:hAnsi="Arial" w:cs="Arial"/>
                <w:i/>
                <w:color w:val="000000" w:themeColor="text1"/>
              </w:rPr>
              <w:t>4</w:t>
            </w:r>
          </w:p>
        </w:tc>
        <w:tc>
          <w:tcPr>
            <w:tcW w:w="1167" w:type="dxa"/>
            <w:tcBorders>
              <w:top w:val="nil"/>
              <w:left w:val="nil"/>
              <w:bottom w:val="nil"/>
              <w:right w:val="nil"/>
            </w:tcBorders>
            <w:vAlign w:val="center"/>
          </w:tcPr>
          <w:p w14:paraId="02FF698C" w14:textId="76EA1D86"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-0</w:t>
            </w:r>
            <w:r w:rsidR="00084951">
              <w:rPr>
                <w:rFonts w:ascii="Arial" w:hAnsi="Arial" w:cs="Arial"/>
                <w:i/>
                <w:color w:val="000000" w:themeColor="text1"/>
              </w:rPr>
              <w:t>,</w:t>
            </w:r>
            <w:r w:rsidRPr="00A14889">
              <w:rPr>
                <w:rFonts w:ascii="Arial" w:hAnsi="Arial" w:cs="Arial"/>
                <w:i/>
                <w:color w:val="000000" w:themeColor="text1"/>
              </w:rPr>
              <w:t>2%</w:t>
            </w:r>
          </w:p>
        </w:tc>
      </w:tr>
      <w:tr w:rsidR="00127038" w:rsidRPr="008263F5" w14:paraId="35B9E4A5"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366C709C" w14:textId="63C8C372"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από υπηρεσίες κινητής</w:t>
            </w:r>
          </w:p>
        </w:tc>
        <w:tc>
          <w:tcPr>
            <w:tcW w:w="1045" w:type="dxa"/>
            <w:tcBorders>
              <w:top w:val="nil"/>
              <w:left w:val="single" w:sz="2" w:space="0" w:color="808080" w:themeColor="background1" w:themeShade="80"/>
              <w:bottom w:val="nil"/>
              <w:right w:val="nil"/>
            </w:tcBorders>
            <w:shd w:val="clear" w:color="auto" w:fill="auto"/>
            <w:vAlign w:val="center"/>
          </w:tcPr>
          <w:p w14:paraId="7928E1E4" w14:textId="3631269D"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252</w:t>
            </w:r>
            <w:r w:rsidR="00084951">
              <w:rPr>
                <w:rFonts w:ascii="Arial" w:hAnsi="Arial" w:cs="Arial"/>
                <w:color w:val="000000" w:themeColor="text1"/>
              </w:rPr>
              <w:t>,</w:t>
            </w:r>
            <w:r w:rsidRPr="008263F5">
              <w:rPr>
                <w:rFonts w:ascii="Arial" w:hAnsi="Arial" w:cs="Arial"/>
                <w:color w:val="000000" w:themeColor="text1"/>
              </w:rPr>
              <w:t>4</w:t>
            </w:r>
          </w:p>
        </w:tc>
        <w:tc>
          <w:tcPr>
            <w:tcW w:w="1085" w:type="dxa"/>
            <w:tcBorders>
              <w:top w:val="nil"/>
              <w:left w:val="nil"/>
              <w:bottom w:val="nil"/>
              <w:right w:val="nil"/>
            </w:tcBorders>
            <w:shd w:val="clear" w:color="auto" w:fill="auto"/>
            <w:vAlign w:val="center"/>
          </w:tcPr>
          <w:p w14:paraId="306EE423" w14:textId="0A505B52"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249</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single" w:sz="2" w:space="0" w:color="808080" w:themeColor="background1" w:themeShade="80"/>
            </w:tcBorders>
            <w:shd w:val="clear" w:color="auto" w:fill="auto"/>
            <w:vAlign w:val="center"/>
          </w:tcPr>
          <w:p w14:paraId="2932D361" w14:textId="7C9D203D"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4%</w:t>
            </w:r>
          </w:p>
        </w:tc>
        <w:tc>
          <w:tcPr>
            <w:tcW w:w="1167" w:type="dxa"/>
            <w:tcBorders>
              <w:top w:val="nil"/>
              <w:left w:val="single" w:sz="2" w:space="0" w:color="808080" w:themeColor="background1" w:themeShade="80"/>
              <w:bottom w:val="nil"/>
              <w:right w:val="nil"/>
            </w:tcBorders>
            <w:vAlign w:val="center"/>
          </w:tcPr>
          <w:p w14:paraId="1DE400B7" w14:textId="733F9852"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037</w:t>
            </w:r>
            <w:r w:rsidR="00084951">
              <w:rPr>
                <w:rFonts w:ascii="Arial" w:hAnsi="Arial" w:cs="Arial"/>
                <w:color w:val="000000" w:themeColor="text1"/>
              </w:rPr>
              <w:t>,</w:t>
            </w:r>
            <w:r w:rsidRPr="008263F5">
              <w:rPr>
                <w:rFonts w:ascii="Arial" w:hAnsi="Arial" w:cs="Arial"/>
                <w:color w:val="000000" w:themeColor="text1"/>
              </w:rPr>
              <w:t>3</w:t>
            </w:r>
          </w:p>
        </w:tc>
        <w:tc>
          <w:tcPr>
            <w:tcW w:w="1167" w:type="dxa"/>
            <w:tcBorders>
              <w:top w:val="nil"/>
              <w:left w:val="nil"/>
              <w:bottom w:val="nil"/>
              <w:right w:val="nil"/>
            </w:tcBorders>
            <w:vAlign w:val="center"/>
          </w:tcPr>
          <w:p w14:paraId="4EFC231A" w14:textId="0A1CF918"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009</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nil"/>
            </w:tcBorders>
            <w:vAlign w:val="center"/>
          </w:tcPr>
          <w:p w14:paraId="39DB863F" w14:textId="76891095"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w:t>
            </w:r>
            <w:r w:rsidR="00084951">
              <w:rPr>
                <w:rFonts w:ascii="Arial" w:hAnsi="Arial" w:cs="Arial"/>
                <w:color w:val="000000" w:themeColor="text1"/>
              </w:rPr>
              <w:t>,</w:t>
            </w:r>
            <w:r w:rsidRPr="008263F5">
              <w:rPr>
                <w:rFonts w:ascii="Arial" w:hAnsi="Arial" w:cs="Arial"/>
                <w:color w:val="000000" w:themeColor="text1"/>
              </w:rPr>
              <w:t>8%</w:t>
            </w:r>
          </w:p>
        </w:tc>
      </w:tr>
      <w:tr w:rsidR="00127038" w:rsidRPr="008263F5" w14:paraId="2292DFCA"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37856BE7" w14:textId="3E60B938"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χονδρικής</w:t>
            </w:r>
          </w:p>
        </w:tc>
        <w:tc>
          <w:tcPr>
            <w:tcW w:w="1045" w:type="dxa"/>
            <w:tcBorders>
              <w:top w:val="nil"/>
              <w:left w:val="single" w:sz="2" w:space="0" w:color="808080" w:themeColor="background1" w:themeShade="80"/>
              <w:bottom w:val="nil"/>
              <w:right w:val="nil"/>
            </w:tcBorders>
            <w:shd w:val="clear" w:color="auto" w:fill="auto"/>
            <w:vAlign w:val="center"/>
          </w:tcPr>
          <w:p w14:paraId="14894E38" w14:textId="686CFBB2"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134</w:t>
            </w:r>
            <w:r w:rsidR="00084951">
              <w:rPr>
                <w:rFonts w:ascii="Arial" w:hAnsi="Arial" w:cs="Arial"/>
                <w:color w:val="000000" w:themeColor="text1"/>
              </w:rPr>
              <w:t>,</w:t>
            </w:r>
            <w:r w:rsidRPr="008263F5">
              <w:rPr>
                <w:rFonts w:ascii="Arial" w:hAnsi="Arial" w:cs="Arial"/>
                <w:color w:val="000000" w:themeColor="text1"/>
              </w:rPr>
              <w:t>9</w:t>
            </w:r>
          </w:p>
        </w:tc>
        <w:tc>
          <w:tcPr>
            <w:tcW w:w="1085" w:type="dxa"/>
            <w:tcBorders>
              <w:top w:val="nil"/>
              <w:left w:val="nil"/>
              <w:bottom w:val="nil"/>
              <w:right w:val="nil"/>
            </w:tcBorders>
            <w:shd w:val="clear" w:color="auto" w:fill="auto"/>
            <w:vAlign w:val="center"/>
          </w:tcPr>
          <w:p w14:paraId="728A70E4" w14:textId="0FF20B03"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156</w:t>
            </w:r>
            <w:r w:rsidR="00084951">
              <w:rPr>
                <w:rFonts w:ascii="Arial" w:hAnsi="Arial" w:cs="Arial"/>
                <w:color w:val="000000" w:themeColor="text1"/>
              </w:rPr>
              <w:t>,</w:t>
            </w:r>
            <w:r w:rsidRPr="008263F5">
              <w:rPr>
                <w:rFonts w:ascii="Arial" w:hAnsi="Arial" w:cs="Arial"/>
                <w:color w:val="000000" w:themeColor="text1"/>
              </w:rPr>
              <w:t>7</w:t>
            </w:r>
          </w:p>
        </w:tc>
        <w:tc>
          <w:tcPr>
            <w:tcW w:w="1167" w:type="dxa"/>
            <w:tcBorders>
              <w:top w:val="nil"/>
              <w:left w:val="nil"/>
              <w:bottom w:val="nil"/>
              <w:right w:val="single" w:sz="2" w:space="0" w:color="808080" w:themeColor="background1" w:themeShade="80"/>
            </w:tcBorders>
            <w:shd w:val="clear" w:color="auto" w:fill="auto"/>
            <w:vAlign w:val="center"/>
          </w:tcPr>
          <w:p w14:paraId="4419BDA9" w14:textId="51C4DA2C"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-13</w:t>
            </w:r>
            <w:r w:rsidR="00084951">
              <w:rPr>
                <w:rFonts w:ascii="Arial" w:hAnsi="Arial" w:cs="Arial"/>
                <w:color w:val="000000" w:themeColor="text1"/>
              </w:rPr>
              <w:t>,</w:t>
            </w:r>
            <w:r w:rsidRPr="008263F5">
              <w:rPr>
                <w:rFonts w:ascii="Arial" w:hAnsi="Arial" w:cs="Arial"/>
                <w:color w:val="000000" w:themeColor="text1"/>
              </w:rPr>
              <w:t>9%</w:t>
            </w:r>
          </w:p>
        </w:tc>
        <w:tc>
          <w:tcPr>
            <w:tcW w:w="1167" w:type="dxa"/>
            <w:tcBorders>
              <w:top w:val="nil"/>
              <w:left w:val="single" w:sz="2" w:space="0" w:color="808080" w:themeColor="background1" w:themeShade="80"/>
              <w:bottom w:val="nil"/>
              <w:right w:val="nil"/>
            </w:tcBorders>
            <w:vAlign w:val="center"/>
          </w:tcPr>
          <w:p w14:paraId="2A8DC65A" w14:textId="01307697"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583</w:t>
            </w:r>
            <w:r w:rsidR="00084951">
              <w:rPr>
                <w:rFonts w:ascii="Arial" w:hAnsi="Arial" w:cs="Arial"/>
                <w:color w:val="000000" w:themeColor="text1"/>
              </w:rPr>
              <w:t>,</w:t>
            </w:r>
            <w:r w:rsidRPr="008263F5">
              <w:rPr>
                <w:rFonts w:ascii="Arial" w:hAnsi="Arial" w:cs="Arial"/>
                <w:color w:val="000000" w:themeColor="text1"/>
              </w:rPr>
              <w:t>1</w:t>
            </w:r>
          </w:p>
        </w:tc>
        <w:tc>
          <w:tcPr>
            <w:tcW w:w="1167" w:type="dxa"/>
            <w:tcBorders>
              <w:top w:val="nil"/>
              <w:left w:val="nil"/>
              <w:bottom w:val="nil"/>
              <w:right w:val="nil"/>
            </w:tcBorders>
            <w:vAlign w:val="center"/>
          </w:tcPr>
          <w:p w14:paraId="1BFF28E3" w14:textId="73A34ECB"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572</w:t>
            </w:r>
            <w:r w:rsidR="00084951">
              <w:rPr>
                <w:rFonts w:ascii="Arial" w:hAnsi="Arial" w:cs="Arial"/>
                <w:color w:val="000000" w:themeColor="text1"/>
              </w:rPr>
              <w:t>,</w:t>
            </w:r>
            <w:r w:rsidRPr="008263F5">
              <w:rPr>
                <w:rFonts w:ascii="Arial" w:hAnsi="Arial" w:cs="Arial"/>
                <w:color w:val="000000" w:themeColor="text1"/>
              </w:rPr>
              <w:t>5</w:t>
            </w:r>
          </w:p>
        </w:tc>
        <w:tc>
          <w:tcPr>
            <w:tcW w:w="1167" w:type="dxa"/>
            <w:tcBorders>
              <w:top w:val="nil"/>
              <w:left w:val="nil"/>
              <w:bottom w:val="nil"/>
              <w:right w:val="nil"/>
            </w:tcBorders>
            <w:vAlign w:val="center"/>
          </w:tcPr>
          <w:p w14:paraId="26D05D2A" w14:textId="784B88BF"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9%</w:t>
            </w:r>
          </w:p>
        </w:tc>
      </w:tr>
      <w:tr w:rsidR="00127038" w:rsidRPr="008263F5" w14:paraId="5685AC93"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779FFF74" w14:textId="3FAEEA10"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Λοιπά Έσοδα</w:t>
            </w:r>
          </w:p>
        </w:tc>
        <w:tc>
          <w:tcPr>
            <w:tcW w:w="1045" w:type="dxa"/>
            <w:tcBorders>
              <w:top w:val="nil"/>
              <w:left w:val="single" w:sz="2" w:space="0" w:color="808080" w:themeColor="background1" w:themeShade="80"/>
              <w:bottom w:val="nil"/>
              <w:right w:val="nil"/>
            </w:tcBorders>
            <w:shd w:val="clear" w:color="auto" w:fill="auto"/>
            <w:vAlign w:val="center"/>
          </w:tcPr>
          <w:p w14:paraId="5017F263" w14:textId="51D4C8BE"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229</w:t>
            </w:r>
            <w:r w:rsidR="00084951">
              <w:rPr>
                <w:rFonts w:ascii="Arial" w:hAnsi="Arial" w:cs="Arial"/>
                <w:color w:val="000000" w:themeColor="text1"/>
              </w:rPr>
              <w:t>,</w:t>
            </w:r>
            <w:r w:rsidRPr="008263F5">
              <w:rPr>
                <w:rFonts w:ascii="Arial" w:hAnsi="Arial" w:cs="Arial"/>
                <w:color w:val="000000" w:themeColor="text1"/>
              </w:rPr>
              <w:t>0</w:t>
            </w:r>
          </w:p>
        </w:tc>
        <w:tc>
          <w:tcPr>
            <w:tcW w:w="1085" w:type="dxa"/>
            <w:tcBorders>
              <w:top w:val="nil"/>
              <w:left w:val="nil"/>
              <w:bottom w:val="nil"/>
              <w:right w:val="nil"/>
            </w:tcBorders>
            <w:shd w:val="clear" w:color="auto" w:fill="auto"/>
            <w:vAlign w:val="center"/>
          </w:tcPr>
          <w:p w14:paraId="41BA9383" w14:textId="2BCAD9D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219</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single" w:sz="2" w:space="0" w:color="808080" w:themeColor="background1" w:themeShade="80"/>
            </w:tcBorders>
            <w:shd w:val="clear" w:color="auto" w:fill="auto"/>
            <w:vAlign w:val="center"/>
          </w:tcPr>
          <w:p w14:paraId="2DB9D05F" w14:textId="09D96691"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+4</w:t>
            </w:r>
            <w:r w:rsidR="00084951">
              <w:rPr>
                <w:rFonts w:ascii="Arial" w:hAnsi="Arial" w:cs="Arial"/>
                <w:color w:val="000000" w:themeColor="text1"/>
              </w:rPr>
              <w:t>,</w:t>
            </w:r>
            <w:r w:rsidRPr="008263F5">
              <w:rPr>
                <w:rFonts w:ascii="Arial" w:hAnsi="Arial" w:cs="Arial"/>
                <w:color w:val="000000" w:themeColor="text1"/>
              </w:rPr>
              <w:t>6%</w:t>
            </w:r>
          </w:p>
        </w:tc>
        <w:tc>
          <w:tcPr>
            <w:tcW w:w="1167" w:type="dxa"/>
            <w:tcBorders>
              <w:top w:val="nil"/>
              <w:left w:val="single" w:sz="2" w:space="0" w:color="808080" w:themeColor="background1" w:themeShade="80"/>
              <w:bottom w:val="nil"/>
              <w:right w:val="nil"/>
            </w:tcBorders>
            <w:vAlign w:val="center"/>
          </w:tcPr>
          <w:p w14:paraId="4C7BA6CD" w14:textId="676C46E9"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802</w:t>
            </w:r>
            <w:r w:rsidR="00084951">
              <w:rPr>
                <w:rFonts w:ascii="Arial" w:hAnsi="Arial" w:cs="Arial"/>
                <w:color w:val="000000" w:themeColor="text1"/>
              </w:rPr>
              <w:t>,</w:t>
            </w:r>
            <w:r w:rsidRPr="008263F5">
              <w:rPr>
                <w:rFonts w:ascii="Arial" w:hAnsi="Arial" w:cs="Arial"/>
                <w:color w:val="000000" w:themeColor="text1"/>
              </w:rPr>
              <w:t>6</w:t>
            </w:r>
          </w:p>
        </w:tc>
        <w:tc>
          <w:tcPr>
            <w:tcW w:w="1167" w:type="dxa"/>
            <w:tcBorders>
              <w:top w:val="nil"/>
              <w:left w:val="nil"/>
              <w:bottom w:val="nil"/>
              <w:right w:val="nil"/>
            </w:tcBorders>
            <w:vAlign w:val="center"/>
          </w:tcPr>
          <w:p w14:paraId="3EBADB97" w14:textId="713F8556"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692</w:t>
            </w:r>
            <w:r w:rsidR="00084951">
              <w:rPr>
                <w:rFonts w:ascii="Arial" w:hAnsi="Arial" w:cs="Arial"/>
                <w:color w:val="000000" w:themeColor="text1"/>
              </w:rPr>
              <w:t>,</w:t>
            </w:r>
            <w:r w:rsidRPr="008263F5">
              <w:rPr>
                <w:rFonts w:ascii="Arial" w:hAnsi="Arial" w:cs="Arial"/>
                <w:color w:val="000000" w:themeColor="text1"/>
              </w:rPr>
              <w:t>8</w:t>
            </w:r>
          </w:p>
        </w:tc>
        <w:tc>
          <w:tcPr>
            <w:tcW w:w="1167" w:type="dxa"/>
            <w:tcBorders>
              <w:top w:val="nil"/>
              <w:left w:val="nil"/>
              <w:bottom w:val="nil"/>
              <w:right w:val="nil"/>
            </w:tcBorders>
            <w:vAlign w:val="center"/>
          </w:tcPr>
          <w:p w14:paraId="218716E2" w14:textId="539BA9F1"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+15</w:t>
            </w:r>
            <w:r w:rsidR="00084951">
              <w:rPr>
                <w:rFonts w:ascii="Arial" w:hAnsi="Arial" w:cs="Arial"/>
                <w:color w:val="000000" w:themeColor="text1"/>
              </w:rPr>
              <w:t>,</w:t>
            </w:r>
            <w:r w:rsidRPr="008263F5">
              <w:rPr>
                <w:rFonts w:ascii="Arial" w:hAnsi="Arial" w:cs="Arial"/>
                <w:color w:val="000000" w:themeColor="text1"/>
              </w:rPr>
              <w:t>8%</w:t>
            </w:r>
          </w:p>
        </w:tc>
      </w:tr>
      <w:tr w:rsidR="00127038" w:rsidRPr="008263F5" w14:paraId="34125443"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613A6063" w14:textId="5CD8F380" w:rsidR="00127038" w:rsidRPr="00A14889" w:rsidRDefault="00127038" w:rsidP="00744EE5">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εκ των οποίων</w:t>
            </w:r>
            <w:r w:rsidRPr="00A14889">
              <w:rPr>
                <w:rFonts w:ascii="Arial" w:hAnsi="Arial" w:cs="Arial"/>
                <w:i/>
                <w:color w:val="000000" w:themeColor="text1"/>
              </w:rPr>
              <w:t xml:space="preserve"> System Solutions</w:t>
            </w:r>
          </w:p>
        </w:tc>
        <w:tc>
          <w:tcPr>
            <w:tcW w:w="1045" w:type="dxa"/>
            <w:tcBorders>
              <w:top w:val="nil"/>
              <w:left w:val="single" w:sz="2" w:space="0" w:color="808080" w:themeColor="background1" w:themeShade="80"/>
              <w:bottom w:val="nil"/>
              <w:right w:val="nil"/>
            </w:tcBorders>
            <w:shd w:val="clear" w:color="auto" w:fill="auto"/>
            <w:vAlign w:val="center"/>
          </w:tcPr>
          <w:p w14:paraId="17909FC4" w14:textId="1F598A0D" w:rsidR="00127038" w:rsidRPr="00284899" w:rsidRDefault="00127038" w:rsidP="00744EE5">
            <w:pPr>
              <w:pStyle w:val="ColorfulList-Accent11"/>
              <w:tabs>
                <w:tab w:val="left" w:pos="0"/>
                <w:tab w:val="left" w:pos="284"/>
              </w:tabs>
              <w:ind w:left="0" w:right="-90"/>
              <w:jc w:val="center"/>
              <w:rPr>
                <w:rFonts w:ascii="Arial" w:hAnsi="Arial" w:cs="Arial"/>
                <w:i/>
                <w:color w:val="000000" w:themeColor="text1"/>
                <w:lang w:val="el-GR"/>
              </w:rPr>
            </w:pPr>
            <w:r w:rsidRPr="00A14889">
              <w:rPr>
                <w:rFonts w:ascii="Arial" w:hAnsi="Arial" w:cs="Arial"/>
                <w:i/>
                <w:color w:val="000000" w:themeColor="text1"/>
              </w:rPr>
              <w:t>88</w:t>
            </w:r>
            <w:r w:rsidR="00084951">
              <w:rPr>
                <w:rFonts w:ascii="Arial" w:hAnsi="Arial" w:cs="Arial"/>
                <w:i/>
                <w:color w:val="000000" w:themeColor="text1"/>
              </w:rPr>
              <w:t>,</w:t>
            </w:r>
            <w:r w:rsidR="00750650">
              <w:rPr>
                <w:rFonts w:ascii="Arial" w:hAnsi="Arial" w:cs="Arial"/>
                <w:i/>
                <w:color w:val="000000" w:themeColor="text1"/>
                <w:lang w:val="el-GR"/>
              </w:rPr>
              <w:t>0</w:t>
            </w:r>
          </w:p>
        </w:tc>
        <w:tc>
          <w:tcPr>
            <w:tcW w:w="1085" w:type="dxa"/>
            <w:tcBorders>
              <w:top w:val="nil"/>
              <w:left w:val="nil"/>
              <w:bottom w:val="nil"/>
              <w:right w:val="nil"/>
            </w:tcBorders>
            <w:shd w:val="clear" w:color="auto" w:fill="auto"/>
            <w:vAlign w:val="center"/>
          </w:tcPr>
          <w:p w14:paraId="224DE7F7" w14:textId="7CA9DE2D"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87</w:t>
            </w:r>
            <w:r w:rsidR="00084951">
              <w:rPr>
                <w:rFonts w:ascii="Arial" w:hAnsi="Arial" w:cs="Arial"/>
                <w:i/>
                <w:color w:val="000000" w:themeColor="text1"/>
              </w:rPr>
              <w:t>,</w:t>
            </w:r>
            <w:r w:rsidRPr="00A14889">
              <w:rPr>
                <w:rFonts w:ascii="Arial" w:hAnsi="Arial" w:cs="Arial"/>
                <w:i/>
                <w:color w:val="000000" w:themeColor="text1"/>
              </w:rPr>
              <w:t>0</w:t>
            </w:r>
          </w:p>
        </w:tc>
        <w:tc>
          <w:tcPr>
            <w:tcW w:w="1167" w:type="dxa"/>
            <w:tcBorders>
              <w:top w:val="nil"/>
              <w:left w:val="nil"/>
              <w:bottom w:val="nil"/>
              <w:right w:val="single" w:sz="2" w:space="0" w:color="808080" w:themeColor="background1" w:themeShade="80"/>
            </w:tcBorders>
            <w:shd w:val="clear" w:color="auto" w:fill="auto"/>
            <w:vAlign w:val="center"/>
          </w:tcPr>
          <w:p w14:paraId="21C8A654" w14:textId="4911E6FE"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+1</w:t>
            </w:r>
            <w:r w:rsidR="00084951">
              <w:rPr>
                <w:rFonts w:ascii="Arial" w:hAnsi="Arial" w:cs="Arial"/>
                <w:i/>
                <w:color w:val="000000" w:themeColor="text1"/>
              </w:rPr>
              <w:t>,</w:t>
            </w:r>
            <w:r w:rsidR="00750650">
              <w:rPr>
                <w:rFonts w:ascii="Arial" w:hAnsi="Arial" w:cs="Arial"/>
                <w:i/>
                <w:color w:val="000000" w:themeColor="text1"/>
                <w:lang w:val="el-GR"/>
              </w:rPr>
              <w:t>1</w:t>
            </w:r>
            <w:r w:rsidRPr="00A14889">
              <w:rPr>
                <w:rFonts w:ascii="Arial" w:hAnsi="Arial" w:cs="Arial"/>
                <w:i/>
                <w:color w:val="000000" w:themeColor="text1"/>
              </w:rPr>
              <w:t>%</w:t>
            </w:r>
          </w:p>
        </w:tc>
        <w:tc>
          <w:tcPr>
            <w:tcW w:w="1167" w:type="dxa"/>
            <w:tcBorders>
              <w:top w:val="nil"/>
              <w:left w:val="single" w:sz="2" w:space="0" w:color="808080" w:themeColor="background1" w:themeShade="80"/>
              <w:bottom w:val="nil"/>
              <w:right w:val="nil"/>
            </w:tcBorders>
            <w:vAlign w:val="center"/>
          </w:tcPr>
          <w:p w14:paraId="29A1B5D1" w14:textId="7E856CFD"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313</w:t>
            </w:r>
            <w:r w:rsidR="00084951">
              <w:rPr>
                <w:rFonts w:ascii="Arial" w:hAnsi="Arial" w:cs="Arial"/>
                <w:i/>
                <w:color w:val="000000" w:themeColor="text1"/>
              </w:rPr>
              <w:t>,</w:t>
            </w:r>
            <w:r w:rsidRPr="00A14889">
              <w:rPr>
                <w:rFonts w:ascii="Arial" w:hAnsi="Arial" w:cs="Arial"/>
                <w:i/>
                <w:color w:val="000000" w:themeColor="text1"/>
              </w:rPr>
              <w:t>9</w:t>
            </w:r>
          </w:p>
        </w:tc>
        <w:tc>
          <w:tcPr>
            <w:tcW w:w="1167" w:type="dxa"/>
            <w:tcBorders>
              <w:top w:val="nil"/>
              <w:left w:val="nil"/>
              <w:bottom w:val="nil"/>
              <w:right w:val="nil"/>
            </w:tcBorders>
            <w:vAlign w:val="center"/>
          </w:tcPr>
          <w:p w14:paraId="3BC8C979" w14:textId="7390FD52"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235</w:t>
            </w:r>
            <w:r w:rsidR="00084951">
              <w:rPr>
                <w:rFonts w:ascii="Arial" w:hAnsi="Arial" w:cs="Arial"/>
                <w:i/>
                <w:color w:val="000000" w:themeColor="text1"/>
              </w:rPr>
              <w:t>,</w:t>
            </w:r>
            <w:r w:rsidRPr="00A14889">
              <w:rPr>
                <w:rFonts w:ascii="Arial" w:hAnsi="Arial" w:cs="Arial"/>
                <w:i/>
                <w:color w:val="000000" w:themeColor="text1"/>
              </w:rPr>
              <w:t>1</w:t>
            </w:r>
          </w:p>
        </w:tc>
        <w:tc>
          <w:tcPr>
            <w:tcW w:w="1167" w:type="dxa"/>
            <w:tcBorders>
              <w:top w:val="nil"/>
              <w:left w:val="nil"/>
              <w:bottom w:val="nil"/>
              <w:right w:val="nil"/>
            </w:tcBorders>
            <w:vAlign w:val="center"/>
          </w:tcPr>
          <w:p w14:paraId="20E609CA" w14:textId="3DCCB81F"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+33</w:t>
            </w:r>
            <w:r w:rsidR="00084951">
              <w:rPr>
                <w:rFonts w:ascii="Arial" w:hAnsi="Arial" w:cs="Arial"/>
                <w:i/>
                <w:color w:val="000000" w:themeColor="text1"/>
              </w:rPr>
              <w:t>,</w:t>
            </w:r>
            <w:r w:rsidRPr="00A14889">
              <w:rPr>
                <w:rFonts w:ascii="Arial" w:hAnsi="Arial" w:cs="Arial"/>
                <w:i/>
                <w:color w:val="000000" w:themeColor="text1"/>
              </w:rPr>
              <w:t>5%</w:t>
            </w:r>
          </w:p>
        </w:tc>
      </w:tr>
      <w:tr w:rsidR="00127038" w:rsidRPr="008263F5" w14:paraId="341014A9" w14:textId="77777777" w:rsidTr="00744EE5">
        <w:trPr>
          <w:trHeight w:val="306"/>
        </w:trPr>
        <w:tc>
          <w:tcPr>
            <w:tcW w:w="3827" w:type="dxa"/>
            <w:tcBorders>
              <w:top w:val="nil"/>
              <w:bottom w:val="nil"/>
              <w:right w:val="single" w:sz="2" w:space="0" w:color="808080" w:themeColor="background1" w:themeShade="80"/>
            </w:tcBorders>
            <w:shd w:val="clear" w:color="auto" w:fill="F2F2F2" w:themeFill="background1" w:themeFillShade="F2"/>
            <w:vAlign w:val="center"/>
          </w:tcPr>
          <w:p w14:paraId="3E376BED" w14:textId="359F6CF9" w:rsidR="00127038" w:rsidRPr="008263F5" w:rsidRDefault="00127038" w:rsidP="00744EE5">
            <w:pPr>
              <w:pStyle w:val="ColorfulList-Accent11"/>
              <w:tabs>
                <w:tab w:val="left" w:pos="0"/>
                <w:tab w:val="left" w:pos="284"/>
              </w:tabs>
              <w:ind w:left="0" w:right="-90"/>
              <w:rPr>
                <w:rFonts w:ascii="Arial" w:hAnsi="Arial" w:cs="Arial"/>
                <w:b/>
                <w:color w:val="000000" w:themeColor="text1"/>
              </w:rPr>
            </w:pPr>
            <w:r>
              <w:rPr>
                <w:rFonts w:ascii="Arial" w:hAnsi="Arial" w:cs="Arial"/>
                <w:b/>
                <w:color w:val="000000" w:themeColor="text1"/>
                <w:lang w:val="el-GR"/>
              </w:rPr>
              <w:t>Προσαρμοσμένο</w:t>
            </w:r>
            <w:r w:rsidRPr="008263F5">
              <w:rPr>
                <w:rFonts w:ascii="Arial" w:hAnsi="Arial" w:cs="Arial"/>
                <w:b/>
                <w:color w:val="000000" w:themeColor="text1"/>
              </w:rPr>
              <w:t xml:space="preserve"> EBITDA (AL)</w:t>
            </w:r>
          </w:p>
        </w:tc>
        <w:tc>
          <w:tcPr>
            <w:tcW w:w="1045" w:type="dxa"/>
            <w:tcBorders>
              <w:top w:val="nil"/>
              <w:left w:val="single" w:sz="2" w:space="0" w:color="808080" w:themeColor="background1" w:themeShade="80"/>
              <w:bottom w:val="nil"/>
              <w:right w:val="nil"/>
            </w:tcBorders>
            <w:shd w:val="clear" w:color="auto" w:fill="F2F2F2" w:themeFill="background1" w:themeFillShade="F2"/>
            <w:vAlign w:val="center"/>
          </w:tcPr>
          <w:p w14:paraId="6F3437EA" w14:textId="7CD15B7B"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343</w:t>
            </w:r>
            <w:r w:rsidR="00084951">
              <w:rPr>
                <w:rFonts w:ascii="Arial" w:hAnsi="Arial" w:cs="Arial"/>
                <w:b/>
                <w:bCs/>
                <w:color w:val="000000" w:themeColor="text1"/>
              </w:rPr>
              <w:t>,</w:t>
            </w:r>
            <w:r w:rsidRPr="008263F5">
              <w:rPr>
                <w:rFonts w:ascii="Arial" w:hAnsi="Arial" w:cs="Arial"/>
                <w:b/>
                <w:bCs/>
                <w:color w:val="000000" w:themeColor="text1"/>
              </w:rPr>
              <w:t>1</w:t>
            </w:r>
          </w:p>
        </w:tc>
        <w:tc>
          <w:tcPr>
            <w:tcW w:w="1085" w:type="dxa"/>
            <w:tcBorders>
              <w:top w:val="nil"/>
              <w:left w:val="nil"/>
              <w:bottom w:val="nil"/>
              <w:right w:val="nil"/>
            </w:tcBorders>
            <w:shd w:val="clear" w:color="auto" w:fill="F2F2F2" w:themeFill="background1" w:themeFillShade="F2"/>
            <w:vAlign w:val="center"/>
          </w:tcPr>
          <w:p w14:paraId="4151FD86" w14:textId="1696F28A"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337</w:t>
            </w:r>
            <w:r w:rsidR="00084951">
              <w:rPr>
                <w:rFonts w:ascii="Arial" w:hAnsi="Arial" w:cs="Arial"/>
                <w:b/>
                <w:bCs/>
                <w:color w:val="000000" w:themeColor="text1"/>
              </w:rPr>
              <w:t>,</w:t>
            </w:r>
            <w:r w:rsidRPr="008263F5">
              <w:rPr>
                <w:rFonts w:ascii="Arial" w:hAnsi="Arial" w:cs="Arial"/>
                <w:b/>
                <w:bCs/>
                <w:color w:val="000000" w:themeColor="text1"/>
              </w:rPr>
              <w:t>0</w:t>
            </w:r>
          </w:p>
        </w:tc>
        <w:tc>
          <w:tcPr>
            <w:tcW w:w="1167" w:type="dxa"/>
            <w:tcBorders>
              <w:top w:val="nil"/>
              <w:left w:val="nil"/>
              <w:bottom w:val="nil"/>
              <w:right w:val="single" w:sz="2" w:space="0" w:color="808080" w:themeColor="background1" w:themeShade="80"/>
            </w:tcBorders>
            <w:shd w:val="clear" w:color="auto" w:fill="F2F2F2" w:themeFill="background1" w:themeFillShade="F2"/>
            <w:vAlign w:val="center"/>
          </w:tcPr>
          <w:p w14:paraId="0177DEB7" w14:textId="298A26CC"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8%</w:t>
            </w:r>
          </w:p>
        </w:tc>
        <w:tc>
          <w:tcPr>
            <w:tcW w:w="1167" w:type="dxa"/>
            <w:tcBorders>
              <w:top w:val="nil"/>
              <w:left w:val="single" w:sz="2" w:space="0" w:color="808080" w:themeColor="background1" w:themeShade="80"/>
              <w:bottom w:val="nil"/>
              <w:right w:val="nil"/>
            </w:tcBorders>
            <w:shd w:val="clear" w:color="auto" w:fill="F2F2F2" w:themeFill="background1" w:themeFillShade="F2"/>
            <w:vAlign w:val="center"/>
          </w:tcPr>
          <w:p w14:paraId="6EA7CE92" w14:textId="5F56A85B"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346</w:t>
            </w:r>
            <w:r w:rsidR="00084951">
              <w:rPr>
                <w:rFonts w:ascii="Arial" w:hAnsi="Arial" w:cs="Arial"/>
                <w:b/>
                <w:bCs/>
                <w:color w:val="000000" w:themeColor="text1"/>
              </w:rPr>
              <w:t>,</w:t>
            </w:r>
            <w:r w:rsidRPr="008263F5">
              <w:rPr>
                <w:rFonts w:ascii="Arial" w:hAnsi="Arial" w:cs="Arial"/>
                <w:b/>
                <w:bCs/>
                <w:color w:val="000000" w:themeColor="text1"/>
              </w:rPr>
              <w:t>2</w:t>
            </w:r>
          </w:p>
        </w:tc>
        <w:tc>
          <w:tcPr>
            <w:tcW w:w="1167" w:type="dxa"/>
            <w:tcBorders>
              <w:top w:val="nil"/>
              <w:left w:val="nil"/>
              <w:bottom w:val="nil"/>
              <w:right w:val="nil"/>
            </w:tcBorders>
            <w:shd w:val="clear" w:color="auto" w:fill="F2F2F2" w:themeFill="background1" w:themeFillShade="F2"/>
            <w:vAlign w:val="center"/>
          </w:tcPr>
          <w:p w14:paraId="36ACAACE" w14:textId="11C380A6"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325</w:t>
            </w:r>
            <w:r w:rsidR="00084951">
              <w:rPr>
                <w:rFonts w:ascii="Arial" w:hAnsi="Arial" w:cs="Arial"/>
                <w:b/>
                <w:bCs/>
                <w:color w:val="000000" w:themeColor="text1"/>
              </w:rPr>
              <w:t>,</w:t>
            </w:r>
            <w:r w:rsidRPr="008263F5">
              <w:rPr>
                <w:rFonts w:ascii="Arial" w:hAnsi="Arial" w:cs="Arial"/>
                <w:b/>
                <w:bCs/>
                <w:color w:val="000000" w:themeColor="text1"/>
              </w:rPr>
              <w:t>5</w:t>
            </w:r>
          </w:p>
        </w:tc>
        <w:tc>
          <w:tcPr>
            <w:tcW w:w="1167" w:type="dxa"/>
            <w:tcBorders>
              <w:top w:val="nil"/>
              <w:left w:val="nil"/>
              <w:bottom w:val="nil"/>
              <w:right w:val="nil"/>
            </w:tcBorders>
            <w:shd w:val="clear" w:color="auto" w:fill="F2F2F2" w:themeFill="background1" w:themeFillShade="F2"/>
            <w:vAlign w:val="center"/>
          </w:tcPr>
          <w:p w14:paraId="19217848" w14:textId="550FC0E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6%</w:t>
            </w:r>
          </w:p>
        </w:tc>
      </w:tr>
      <w:tr w:rsidR="00127038" w:rsidRPr="008263F5" w14:paraId="1349CDD4" w14:textId="77777777" w:rsidTr="00744EE5">
        <w:trPr>
          <w:trHeight w:val="294"/>
        </w:trPr>
        <w:tc>
          <w:tcPr>
            <w:tcW w:w="3827"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F55B34" w14:textId="6109AE60" w:rsidR="00127038" w:rsidRPr="008263F5" w:rsidRDefault="00127038" w:rsidP="00744EE5">
            <w:pPr>
              <w:pStyle w:val="ColorfulList-Accent11"/>
              <w:tabs>
                <w:tab w:val="left" w:pos="0"/>
                <w:tab w:val="left" w:pos="284"/>
              </w:tabs>
              <w:ind w:left="0" w:right="-90"/>
              <w:rPr>
                <w:rFonts w:ascii="Arial" w:hAnsi="Arial" w:cs="Arial"/>
                <w:b/>
                <w:i/>
                <w:color w:val="000000" w:themeColor="text1"/>
              </w:rPr>
            </w:pPr>
            <w:r>
              <w:rPr>
                <w:rFonts w:ascii="Arial" w:hAnsi="Arial" w:cs="Arial"/>
                <w:b/>
                <w:i/>
                <w:color w:val="000000" w:themeColor="text1"/>
                <w:lang w:val="el-GR"/>
              </w:rPr>
              <w:t>Περιθώριο</w:t>
            </w:r>
            <w:r w:rsidRPr="008263F5">
              <w:rPr>
                <w:rFonts w:ascii="Arial" w:hAnsi="Arial" w:cs="Arial"/>
                <w:b/>
                <w:i/>
                <w:color w:val="000000" w:themeColor="text1"/>
              </w:rPr>
              <w:t xml:space="preserve"> (%)</w:t>
            </w:r>
          </w:p>
        </w:tc>
        <w:tc>
          <w:tcPr>
            <w:tcW w:w="1045"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AB8C27D" w14:textId="332CA842"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40</w:t>
            </w:r>
            <w:r w:rsidR="00084951">
              <w:rPr>
                <w:rFonts w:ascii="Arial" w:hAnsi="Arial" w:cs="Arial"/>
                <w:b/>
                <w:bCs/>
                <w:i/>
                <w:iCs/>
                <w:color w:val="000000" w:themeColor="text1"/>
              </w:rPr>
              <w:t>,</w:t>
            </w:r>
            <w:r w:rsidRPr="008263F5">
              <w:rPr>
                <w:rFonts w:ascii="Arial" w:hAnsi="Arial" w:cs="Arial"/>
                <w:b/>
                <w:bCs/>
                <w:i/>
                <w:iCs/>
                <w:color w:val="000000" w:themeColor="text1"/>
              </w:rPr>
              <w:t>7%</w:t>
            </w:r>
          </w:p>
        </w:tc>
        <w:tc>
          <w:tcPr>
            <w:tcW w:w="1085" w:type="dxa"/>
            <w:tcBorders>
              <w:top w:val="nil"/>
              <w:left w:val="nil"/>
              <w:bottom w:val="single" w:sz="2" w:space="0" w:color="808080" w:themeColor="background1" w:themeShade="80"/>
              <w:right w:val="nil"/>
            </w:tcBorders>
            <w:shd w:val="clear" w:color="auto" w:fill="F2F2F2" w:themeFill="background1" w:themeFillShade="F2"/>
            <w:vAlign w:val="center"/>
          </w:tcPr>
          <w:p w14:paraId="2D0A2521" w14:textId="506F5647"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39</w:t>
            </w:r>
            <w:r w:rsidR="00084951">
              <w:rPr>
                <w:rFonts w:ascii="Arial" w:hAnsi="Arial" w:cs="Arial"/>
                <w:b/>
                <w:bCs/>
                <w:i/>
                <w:iCs/>
                <w:color w:val="000000" w:themeColor="text1"/>
              </w:rPr>
              <w:t>,</w:t>
            </w:r>
            <w:r w:rsidRPr="008263F5">
              <w:rPr>
                <w:rFonts w:ascii="Arial" w:hAnsi="Arial" w:cs="Arial"/>
                <w:b/>
                <w:bCs/>
                <w:i/>
                <w:iCs/>
                <w:color w:val="000000" w:themeColor="text1"/>
              </w:rPr>
              <w:t>4%</w:t>
            </w:r>
          </w:p>
        </w:tc>
        <w:tc>
          <w:tcPr>
            <w:tcW w:w="1167"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3F3628" w14:textId="4BB2774F" w:rsidR="00127038" w:rsidRPr="00084951" w:rsidRDefault="00127038" w:rsidP="00744EE5">
            <w:pPr>
              <w:pStyle w:val="ColorfulList-Accent11"/>
              <w:tabs>
                <w:tab w:val="left" w:pos="0"/>
                <w:tab w:val="left" w:pos="284"/>
              </w:tabs>
              <w:ind w:left="0" w:right="-90"/>
              <w:jc w:val="center"/>
              <w:rPr>
                <w:rFonts w:ascii="Arial" w:hAnsi="Arial" w:cs="Arial"/>
                <w:b/>
                <w:i/>
                <w:color w:val="000000" w:themeColor="text1"/>
                <w:lang w:val="el-GR"/>
              </w:rPr>
            </w:pPr>
            <w:r w:rsidRPr="008263F5">
              <w:rPr>
                <w:rFonts w:ascii="Arial" w:hAnsi="Arial" w:cs="Arial"/>
                <w:b/>
                <w:bCs/>
                <w:i/>
                <w:iCs/>
                <w:color w:val="000000" w:themeColor="text1"/>
              </w:rPr>
              <w:t>+1</w:t>
            </w:r>
            <w:r w:rsidR="00084951">
              <w:rPr>
                <w:rFonts w:ascii="Arial" w:hAnsi="Arial" w:cs="Arial"/>
                <w:b/>
                <w:bCs/>
                <w:i/>
                <w:iCs/>
                <w:color w:val="000000" w:themeColor="text1"/>
              </w:rPr>
              <w:t>,</w:t>
            </w:r>
            <w:r w:rsidRPr="008263F5">
              <w:rPr>
                <w:rFonts w:ascii="Arial" w:hAnsi="Arial" w:cs="Arial"/>
                <w:b/>
                <w:bCs/>
                <w:i/>
                <w:iCs/>
                <w:color w:val="000000" w:themeColor="text1"/>
              </w:rPr>
              <w:t>3</w:t>
            </w:r>
            <w:r w:rsidR="00084951">
              <w:rPr>
                <w:rFonts w:ascii="Arial" w:hAnsi="Arial" w:cs="Arial"/>
                <w:b/>
                <w:bCs/>
                <w:i/>
                <w:iCs/>
                <w:color w:val="000000" w:themeColor="text1"/>
                <w:lang w:val="el-GR"/>
              </w:rPr>
              <w:t xml:space="preserve"> μον</w:t>
            </w:r>
          </w:p>
        </w:tc>
        <w:tc>
          <w:tcPr>
            <w:tcW w:w="116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90D8E33" w14:textId="1C882DDD"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40</w:t>
            </w:r>
            <w:r w:rsidR="00084951">
              <w:rPr>
                <w:rFonts w:ascii="Arial" w:hAnsi="Arial" w:cs="Arial"/>
                <w:b/>
                <w:bCs/>
                <w:i/>
                <w:iCs/>
                <w:color w:val="000000" w:themeColor="text1"/>
              </w:rPr>
              <w:t>,</w:t>
            </w:r>
            <w:r w:rsidRPr="008263F5">
              <w:rPr>
                <w:rFonts w:ascii="Arial" w:hAnsi="Arial" w:cs="Arial"/>
                <w:b/>
                <w:bCs/>
                <w:i/>
                <w:iCs/>
                <w:color w:val="000000" w:themeColor="text1"/>
              </w:rPr>
              <w:t>4%</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68150321" w14:textId="4A77F255"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41</w:t>
            </w:r>
            <w:r w:rsidR="00084951">
              <w:rPr>
                <w:rFonts w:ascii="Arial" w:hAnsi="Arial" w:cs="Arial"/>
                <w:b/>
                <w:bCs/>
                <w:i/>
                <w:iCs/>
                <w:color w:val="000000" w:themeColor="text1"/>
              </w:rPr>
              <w:t>,</w:t>
            </w:r>
            <w:r w:rsidRPr="008263F5">
              <w:rPr>
                <w:rFonts w:ascii="Arial" w:hAnsi="Arial" w:cs="Arial"/>
                <w:b/>
                <w:bCs/>
                <w:i/>
                <w:iCs/>
                <w:color w:val="000000" w:themeColor="text1"/>
              </w:rPr>
              <w:t>6%</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09260992" w14:textId="74301464" w:rsidR="00127038" w:rsidRPr="00084951" w:rsidRDefault="00127038" w:rsidP="00744EE5">
            <w:pPr>
              <w:pStyle w:val="ColorfulList-Accent11"/>
              <w:tabs>
                <w:tab w:val="left" w:pos="0"/>
                <w:tab w:val="left" w:pos="284"/>
              </w:tabs>
              <w:ind w:left="0" w:right="-90"/>
              <w:jc w:val="center"/>
              <w:rPr>
                <w:rFonts w:ascii="Arial" w:hAnsi="Arial" w:cs="Arial"/>
                <w:b/>
                <w:i/>
                <w:color w:val="000000" w:themeColor="text1"/>
                <w:lang w:val="el-GR"/>
              </w:rPr>
            </w:pPr>
            <w:r w:rsidRPr="008263F5">
              <w:rPr>
                <w:rFonts w:ascii="Arial" w:hAnsi="Arial" w:cs="Arial"/>
                <w:b/>
                <w:bCs/>
                <w:i/>
                <w:iCs/>
                <w:color w:val="000000" w:themeColor="text1"/>
              </w:rPr>
              <w:t>-1</w:t>
            </w:r>
            <w:r w:rsidR="00084951">
              <w:rPr>
                <w:rFonts w:ascii="Arial" w:hAnsi="Arial" w:cs="Arial"/>
                <w:b/>
                <w:bCs/>
                <w:i/>
                <w:iCs/>
                <w:color w:val="000000" w:themeColor="text1"/>
              </w:rPr>
              <w:t>,</w:t>
            </w:r>
            <w:r w:rsidRPr="008263F5">
              <w:rPr>
                <w:rFonts w:ascii="Arial" w:hAnsi="Arial" w:cs="Arial"/>
                <w:b/>
                <w:bCs/>
                <w:i/>
                <w:iCs/>
                <w:color w:val="000000" w:themeColor="text1"/>
              </w:rPr>
              <w:t>2</w:t>
            </w:r>
            <w:r w:rsidR="00084951">
              <w:rPr>
                <w:rFonts w:ascii="Arial" w:hAnsi="Arial" w:cs="Arial"/>
                <w:b/>
                <w:bCs/>
                <w:i/>
                <w:iCs/>
                <w:color w:val="000000" w:themeColor="text1"/>
                <w:lang w:val="el-GR"/>
              </w:rPr>
              <w:t xml:space="preserve"> μον</w:t>
            </w:r>
          </w:p>
        </w:tc>
      </w:tr>
      <w:bookmarkEnd w:id="3"/>
    </w:tbl>
    <w:p w14:paraId="3A390EFD" w14:textId="77777777" w:rsidR="00127627" w:rsidRDefault="00127627" w:rsidP="00AB5D12">
      <w:pPr>
        <w:spacing w:after="0" w:line="240" w:lineRule="auto"/>
        <w:jc w:val="both"/>
        <w:rPr>
          <w:rFonts w:ascii="Arial" w:hAnsi="Arial" w:cs="Arial"/>
          <w:shd w:val="clear" w:color="auto" w:fill="FFFFFF" w:themeFill="background1"/>
        </w:rPr>
      </w:pPr>
    </w:p>
    <w:p w14:paraId="56911033" w14:textId="53FB038E" w:rsidR="00EA1BF8" w:rsidRPr="001D7A36" w:rsidRDefault="006A2BB9" w:rsidP="00BF730C">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1D7A36">
        <w:rPr>
          <w:rFonts w:ascii="Arial" w:hAnsi="Arial" w:cs="Arial"/>
          <w:b/>
          <w:bCs/>
          <w:sz w:val="22"/>
          <w:lang w:val="el-GR"/>
        </w:rPr>
        <w:t>Τα συνολικά έσοδα</w:t>
      </w:r>
      <w:r w:rsidRPr="001D7A36">
        <w:rPr>
          <w:rFonts w:ascii="Arial" w:hAnsi="Arial" w:cs="Arial"/>
          <w:sz w:val="22"/>
          <w:lang w:val="el-GR"/>
        </w:rPr>
        <w:t xml:space="preserve"> σ</w:t>
      </w:r>
      <w:r w:rsidR="00C46984" w:rsidRPr="001D7A36">
        <w:rPr>
          <w:rFonts w:ascii="Arial" w:hAnsi="Arial" w:cs="Arial"/>
          <w:sz w:val="22"/>
          <w:lang w:val="el-GR"/>
        </w:rPr>
        <w:t xml:space="preserve">την Ελλάδα </w:t>
      </w:r>
      <w:r w:rsidRPr="001D7A36">
        <w:rPr>
          <w:rFonts w:ascii="Arial" w:hAnsi="Arial" w:cs="Arial"/>
          <w:sz w:val="22"/>
          <w:lang w:val="el-GR"/>
        </w:rPr>
        <w:t>μειώθηκαν κατά 1,4%</w:t>
      </w:r>
      <w:r w:rsidR="00577756" w:rsidRPr="001D7A36">
        <w:rPr>
          <w:rFonts w:ascii="Arial" w:hAnsi="Arial" w:cs="Arial"/>
          <w:sz w:val="22"/>
          <w:lang w:val="el-GR"/>
        </w:rPr>
        <w:t xml:space="preserve"> και </w:t>
      </w:r>
      <w:r w:rsidR="00EA32FA" w:rsidRPr="001D7A36">
        <w:rPr>
          <w:rFonts w:ascii="Arial" w:hAnsi="Arial" w:cs="Arial"/>
          <w:sz w:val="22"/>
          <w:lang w:val="el-GR"/>
        </w:rPr>
        <w:t xml:space="preserve">διαμορφώθηκαν σε </w:t>
      </w:r>
      <w:r w:rsidR="00577756" w:rsidRPr="001D7A36">
        <w:rPr>
          <w:rFonts w:ascii="Arial" w:hAnsi="Arial" w:cs="Arial"/>
          <w:sz w:val="22"/>
          <w:lang w:val="el-GR"/>
        </w:rPr>
        <w:t>€843,1εκατ. στο Δ’ τρίμηνο του 2024</w:t>
      </w:r>
      <w:r w:rsidR="00EA32FA" w:rsidRPr="001D7A36">
        <w:rPr>
          <w:rFonts w:ascii="Arial" w:hAnsi="Arial" w:cs="Arial"/>
          <w:sz w:val="22"/>
          <w:lang w:val="el-GR"/>
        </w:rPr>
        <w:t>,</w:t>
      </w:r>
      <w:r w:rsidR="00577756" w:rsidRPr="001D7A36">
        <w:rPr>
          <w:rFonts w:ascii="Arial" w:hAnsi="Arial" w:cs="Arial"/>
          <w:sz w:val="22"/>
          <w:lang w:val="el-GR"/>
        </w:rPr>
        <w:t xml:space="preserve"> καθώς τα χαμηλότερα έσοδα</w:t>
      </w:r>
      <w:r w:rsidR="002702CC">
        <w:rPr>
          <w:rFonts w:ascii="Arial" w:hAnsi="Arial" w:cs="Arial"/>
          <w:sz w:val="22"/>
          <w:lang w:val="el-GR"/>
        </w:rPr>
        <w:t xml:space="preserve"> διεθνούς</w:t>
      </w:r>
      <w:r w:rsidR="00577756" w:rsidRPr="001D7A36">
        <w:rPr>
          <w:rFonts w:ascii="Arial" w:hAnsi="Arial" w:cs="Arial"/>
          <w:sz w:val="22"/>
          <w:lang w:val="el-GR"/>
        </w:rPr>
        <w:t xml:space="preserve"> χονδρικής αντιστάθμισαν τη θετική δυναμική </w:t>
      </w:r>
      <w:r w:rsidR="00EA32FA" w:rsidRPr="001D7A36">
        <w:rPr>
          <w:rFonts w:ascii="Arial" w:hAnsi="Arial" w:cs="Arial"/>
          <w:sz w:val="22"/>
          <w:lang w:val="el-GR"/>
        </w:rPr>
        <w:t xml:space="preserve">στις </w:t>
      </w:r>
      <w:r w:rsidR="00577756" w:rsidRPr="001D7A36">
        <w:rPr>
          <w:rFonts w:ascii="Arial" w:hAnsi="Arial" w:cs="Arial"/>
          <w:sz w:val="22"/>
          <w:lang w:val="el-GR"/>
        </w:rPr>
        <w:t xml:space="preserve">υπηρεσίες κινητής, τηλεόρασης και </w:t>
      </w:r>
      <w:r w:rsidR="00577756" w:rsidRPr="00BF730C">
        <w:rPr>
          <w:rFonts w:ascii="Arial" w:hAnsi="Arial" w:cs="Arial"/>
          <w:sz w:val="22"/>
        </w:rPr>
        <w:t>ICT</w:t>
      </w:r>
      <w:r w:rsidR="00EA1BF8" w:rsidRPr="001D7A36">
        <w:rPr>
          <w:rFonts w:ascii="Arial" w:hAnsi="Arial" w:cs="Arial"/>
          <w:sz w:val="22"/>
          <w:lang w:val="el-GR"/>
        </w:rPr>
        <w:t>.</w:t>
      </w:r>
    </w:p>
    <w:p w14:paraId="111A9F49" w14:textId="6D816AEA" w:rsidR="005B1E17" w:rsidRDefault="00A5326E" w:rsidP="00DF135E">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A5326E">
        <w:rPr>
          <w:rFonts w:ascii="Arial" w:hAnsi="Arial" w:cs="Arial"/>
          <w:b/>
          <w:bCs/>
          <w:sz w:val="22"/>
          <w:lang w:val="el-GR"/>
        </w:rPr>
        <w:t>Τα έσοδα από υπηρεσίες λιανικής σταθερής</w:t>
      </w:r>
      <w:r w:rsidRPr="00DF135E">
        <w:rPr>
          <w:rFonts w:ascii="Arial" w:hAnsi="Arial" w:cs="Arial"/>
          <w:sz w:val="22"/>
          <w:lang w:val="el-GR"/>
        </w:rPr>
        <w:t xml:space="preserve"> </w:t>
      </w:r>
      <w:r w:rsidRPr="00A5326E">
        <w:rPr>
          <w:rFonts w:ascii="Arial" w:hAnsi="Arial" w:cs="Arial"/>
          <w:sz w:val="22"/>
          <w:lang w:val="el-GR"/>
        </w:rPr>
        <w:t>στην Ελλάδα</w:t>
      </w:r>
      <w:r>
        <w:rPr>
          <w:rFonts w:ascii="Arial" w:hAnsi="Arial" w:cs="Arial"/>
          <w:sz w:val="22"/>
          <w:lang w:val="el-GR"/>
        </w:rPr>
        <w:t xml:space="preserve"> μειώθηκαν κατά 1,4% στο τρίμηνο</w:t>
      </w:r>
      <w:r w:rsidR="00BF730C">
        <w:rPr>
          <w:rFonts w:ascii="Arial" w:hAnsi="Arial" w:cs="Arial"/>
          <w:sz w:val="22"/>
          <w:lang w:val="el-GR"/>
        </w:rPr>
        <w:t>.</w:t>
      </w:r>
      <w:r>
        <w:rPr>
          <w:rFonts w:ascii="Arial" w:hAnsi="Arial" w:cs="Arial"/>
          <w:sz w:val="22"/>
          <w:lang w:val="el-GR"/>
        </w:rPr>
        <w:t xml:space="preserve"> </w:t>
      </w:r>
      <w:r w:rsidR="00A34E76" w:rsidRPr="00A34E76">
        <w:rPr>
          <w:rFonts w:ascii="Arial" w:hAnsi="Arial" w:cs="Arial"/>
          <w:sz w:val="22"/>
          <w:lang w:val="el-GR"/>
        </w:rPr>
        <w:t xml:space="preserve">Η </w:t>
      </w:r>
      <w:r w:rsidR="00BF730C">
        <w:rPr>
          <w:rFonts w:ascii="Arial" w:hAnsi="Arial" w:cs="Arial"/>
          <w:sz w:val="22"/>
          <w:lang w:val="el-GR"/>
        </w:rPr>
        <w:t xml:space="preserve">βάση σύγκρισης από την </w:t>
      </w:r>
      <w:r w:rsidR="00A34E76" w:rsidRPr="00A34E76">
        <w:rPr>
          <w:rFonts w:ascii="Arial" w:hAnsi="Arial" w:cs="Arial"/>
          <w:sz w:val="22"/>
          <w:lang w:val="el-GR"/>
        </w:rPr>
        <w:t>κατάργηση της έκπτωσης "</w:t>
      </w:r>
      <w:r w:rsidR="00A34E76" w:rsidRPr="00DF135E">
        <w:rPr>
          <w:rFonts w:ascii="Arial" w:hAnsi="Arial" w:cs="Arial"/>
          <w:sz w:val="22"/>
        </w:rPr>
        <w:t>e</w:t>
      </w:r>
      <w:r w:rsidR="00A34E76" w:rsidRPr="00A34E76">
        <w:rPr>
          <w:rFonts w:ascii="Arial" w:hAnsi="Arial" w:cs="Arial"/>
          <w:sz w:val="22"/>
          <w:lang w:val="el-GR"/>
        </w:rPr>
        <w:t>-</w:t>
      </w:r>
      <w:r w:rsidR="00A34E76" w:rsidRPr="00DF135E">
        <w:rPr>
          <w:rFonts w:ascii="Arial" w:hAnsi="Arial" w:cs="Arial"/>
          <w:sz w:val="22"/>
        </w:rPr>
        <w:t>bill</w:t>
      </w:r>
      <w:r w:rsidR="00A34E76" w:rsidRPr="00A34E76">
        <w:rPr>
          <w:rFonts w:ascii="Arial" w:hAnsi="Arial" w:cs="Arial"/>
          <w:sz w:val="22"/>
          <w:lang w:val="el-GR"/>
        </w:rPr>
        <w:t xml:space="preserve">" στα τέλη του 2023, σε συνδυασμό με </w:t>
      </w:r>
      <w:r w:rsidR="00C2277E">
        <w:rPr>
          <w:rFonts w:ascii="Arial" w:hAnsi="Arial" w:cs="Arial"/>
          <w:sz w:val="22"/>
          <w:lang w:val="el-GR"/>
        </w:rPr>
        <w:t>τις</w:t>
      </w:r>
      <w:r w:rsidR="00A34E76" w:rsidRPr="00A34E76">
        <w:rPr>
          <w:rFonts w:ascii="Arial" w:hAnsi="Arial" w:cs="Arial"/>
          <w:sz w:val="22"/>
          <w:lang w:val="el-GR"/>
        </w:rPr>
        <w:t xml:space="preserve"> προκλήσεις </w:t>
      </w:r>
      <w:r w:rsidR="00C2277E">
        <w:rPr>
          <w:rFonts w:ascii="Arial" w:hAnsi="Arial" w:cs="Arial"/>
          <w:sz w:val="22"/>
          <w:lang w:val="el-GR"/>
        </w:rPr>
        <w:t>στις παραδοσιακές</w:t>
      </w:r>
      <w:r w:rsidR="00A34E76" w:rsidRPr="00A34E76">
        <w:rPr>
          <w:rFonts w:ascii="Arial" w:hAnsi="Arial" w:cs="Arial"/>
          <w:sz w:val="22"/>
          <w:lang w:val="el-GR"/>
        </w:rPr>
        <w:t xml:space="preserve"> υπηρεσίες</w:t>
      </w:r>
      <w:r w:rsidR="00666F16">
        <w:rPr>
          <w:rFonts w:ascii="Arial" w:hAnsi="Arial" w:cs="Arial"/>
          <w:sz w:val="22"/>
          <w:lang w:val="el-GR"/>
        </w:rPr>
        <w:t xml:space="preserve"> φωνής</w:t>
      </w:r>
      <w:r w:rsidR="00A34E76" w:rsidRPr="00A34E76">
        <w:rPr>
          <w:rFonts w:ascii="Arial" w:hAnsi="Arial" w:cs="Arial"/>
          <w:sz w:val="22"/>
          <w:lang w:val="el-GR"/>
        </w:rPr>
        <w:t xml:space="preserve">, οδήγησε στην πτωτική τάση των εσόδων από υπηρεσίες σταθερής. </w:t>
      </w:r>
      <w:r w:rsidR="006D0455">
        <w:rPr>
          <w:rFonts w:ascii="Arial" w:hAnsi="Arial" w:cs="Arial"/>
          <w:sz w:val="22"/>
          <w:lang w:val="el-GR"/>
        </w:rPr>
        <w:t>Η συνεχιζόμενη ισχυρή δυναμική στην τηλεόραση σε συνδυασμό με τ</w:t>
      </w:r>
      <w:r w:rsidR="00A34E76" w:rsidRPr="00293F04">
        <w:rPr>
          <w:rFonts w:ascii="Arial" w:hAnsi="Arial" w:cs="Arial"/>
          <w:sz w:val="22"/>
          <w:lang w:val="el-GR"/>
        </w:rPr>
        <w:t xml:space="preserve">ο κουπόνι </w:t>
      </w:r>
      <w:r w:rsidR="00A34E76" w:rsidRPr="00DF135E">
        <w:rPr>
          <w:rFonts w:ascii="Arial" w:hAnsi="Arial" w:cs="Arial"/>
          <w:sz w:val="22"/>
        </w:rPr>
        <w:t>Gigabit</w:t>
      </w:r>
      <w:r w:rsidR="00A34E76" w:rsidRPr="00293F04">
        <w:rPr>
          <w:rFonts w:ascii="Arial" w:hAnsi="Arial" w:cs="Arial"/>
          <w:sz w:val="22"/>
          <w:lang w:val="el-GR"/>
        </w:rPr>
        <w:t xml:space="preserve"> για </w:t>
      </w:r>
      <w:r w:rsidR="00A34E76" w:rsidRPr="00DF135E">
        <w:rPr>
          <w:rFonts w:ascii="Arial" w:hAnsi="Arial" w:cs="Arial"/>
          <w:sz w:val="22"/>
        </w:rPr>
        <w:t>FTTH</w:t>
      </w:r>
      <w:r w:rsidR="00A34E76" w:rsidRPr="00293F04">
        <w:rPr>
          <w:rFonts w:ascii="Arial" w:hAnsi="Arial" w:cs="Arial"/>
          <w:sz w:val="22"/>
          <w:lang w:val="el-GR"/>
        </w:rPr>
        <w:t xml:space="preserve">, </w:t>
      </w:r>
      <w:r w:rsidR="006D0455">
        <w:rPr>
          <w:rFonts w:ascii="Arial" w:hAnsi="Arial" w:cs="Arial"/>
          <w:sz w:val="22"/>
          <w:lang w:val="el-GR"/>
        </w:rPr>
        <w:t>καθώς και</w:t>
      </w:r>
      <w:r w:rsidR="00A34E76" w:rsidRPr="00293F04">
        <w:rPr>
          <w:rFonts w:ascii="Arial" w:hAnsi="Arial" w:cs="Arial"/>
          <w:sz w:val="22"/>
          <w:lang w:val="el-GR"/>
        </w:rPr>
        <w:t xml:space="preserve"> την υπηρεσία </w:t>
      </w:r>
      <w:r w:rsidR="00A34E76" w:rsidRPr="00DF135E">
        <w:rPr>
          <w:rFonts w:ascii="Arial" w:hAnsi="Arial" w:cs="Arial"/>
          <w:sz w:val="22"/>
        </w:rPr>
        <w:t>FWA</w:t>
      </w:r>
      <w:r w:rsidR="00A34E76" w:rsidRPr="00293F04">
        <w:rPr>
          <w:rFonts w:ascii="Arial" w:hAnsi="Arial" w:cs="Arial"/>
          <w:sz w:val="22"/>
          <w:lang w:val="el-GR"/>
        </w:rPr>
        <w:t xml:space="preserve"> που </w:t>
      </w:r>
      <w:r w:rsidR="004A4FC5" w:rsidRPr="00293F04">
        <w:rPr>
          <w:rFonts w:ascii="Arial" w:hAnsi="Arial" w:cs="Arial"/>
          <w:sz w:val="22"/>
          <w:lang w:val="el-GR"/>
        </w:rPr>
        <w:t>λανσαρίστηκε</w:t>
      </w:r>
      <w:r w:rsidR="00A34E76" w:rsidRPr="00293F04">
        <w:rPr>
          <w:rFonts w:ascii="Arial" w:hAnsi="Arial" w:cs="Arial"/>
          <w:sz w:val="22"/>
          <w:lang w:val="el-GR"/>
        </w:rPr>
        <w:t xml:space="preserve"> πρόσφατα, αναμένεται να υποστηρίξει τα έσοδα από </w:t>
      </w:r>
      <w:r w:rsidR="006D0455">
        <w:rPr>
          <w:rFonts w:ascii="Arial" w:hAnsi="Arial" w:cs="Arial"/>
          <w:sz w:val="22"/>
          <w:lang w:val="el-GR"/>
        </w:rPr>
        <w:t>υπηρεσίες λιανικής σταθερής</w:t>
      </w:r>
      <w:r w:rsidR="00A34E76" w:rsidRPr="00293F04">
        <w:rPr>
          <w:rFonts w:ascii="Arial" w:hAnsi="Arial" w:cs="Arial"/>
          <w:sz w:val="22"/>
          <w:lang w:val="el-GR"/>
        </w:rPr>
        <w:t xml:space="preserve"> </w:t>
      </w:r>
      <w:r w:rsidR="00061E89">
        <w:rPr>
          <w:rFonts w:ascii="Arial" w:hAnsi="Arial" w:cs="Arial"/>
          <w:sz w:val="22"/>
          <w:lang w:val="el-GR"/>
        </w:rPr>
        <w:t xml:space="preserve">κατά το </w:t>
      </w:r>
      <w:r w:rsidR="00061E89" w:rsidRPr="00293F04">
        <w:rPr>
          <w:rFonts w:ascii="Arial" w:hAnsi="Arial" w:cs="Arial"/>
          <w:sz w:val="22"/>
          <w:lang w:val="el-GR"/>
        </w:rPr>
        <w:t xml:space="preserve"> </w:t>
      </w:r>
      <w:r w:rsidR="00A34E76" w:rsidRPr="00293F04">
        <w:rPr>
          <w:rFonts w:ascii="Arial" w:hAnsi="Arial" w:cs="Arial"/>
          <w:sz w:val="22"/>
          <w:lang w:val="el-GR"/>
        </w:rPr>
        <w:t>επόμεν</w:t>
      </w:r>
      <w:r w:rsidR="00061E89">
        <w:rPr>
          <w:rFonts w:ascii="Arial" w:hAnsi="Arial" w:cs="Arial"/>
          <w:sz w:val="22"/>
          <w:lang w:val="el-GR"/>
        </w:rPr>
        <w:t>ο</w:t>
      </w:r>
      <w:r w:rsidR="00A34E76" w:rsidRPr="00293F04">
        <w:rPr>
          <w:rFonts w:ascii="Arial" w:hAnsi="Arial" w:cs="Arial"/>
          <w:sz w:val="22"/>
          <w:lang w:val="el-GR"/>
        </w:rPr>
        <w:t xml:space="preserve"> </w:t>
      </w:r>
      <w:r w:rsidR="00061E89">
        <w:rPr>
          <w:rFonts w:ascii="Arial" w:hAnsi="Arial" w:cs="Arial"/>
          <w:sz w:val="22"/>
          <w:lang w:val="el-GR"/>
        </w:rPr>
        <w:t>διάστημα</w:t>
      </w:r>
      <w:r w:rsidR="00A34E76" w:rsidRPr="00293F04">
        <w:rPr>
          <w:rFonts w:ascii="Arial" w:hAnsi="Arial" w:cs="Arial"/>
          <w:sz w:val="22"/>
          <w:lang w:val="el-GR"/>
        </w:rPr>
        <w:t>.</w:t>
      </w:r>
    </w:p>
    <w:p w14:paraId="4E2D7229" w14:textId="639307CA" w:rsidR="00615528" w:rsidRDefault="009E285A" w:rsidP="00666F16">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5B1E17">
        <w:rPr>
          <w:rFonts w:ascii="Arial" w:hAnsi="Arial" w:cs="Arial"/>
          <w:b/>
          <w:bCs/>
          <w:sz w:val="22"/>
          <w:lang w:val="el-GR"/>
        </w:rPr>
        <w:t>Τα έσοδα από υπηρεσίες κινητής</w:t>
      </w:r>
      <w:r w:rsidR="005B1E17" w:rsidRPr="005B1E17">
        <w:rPr>
          <w:rFonts w:ascii="Arial" w:hAnsi="Arial" w:cs="Arial"/>
          <w:b/>
          <w:bCs/>
          <w:sz w:val="22"/>
          <w:lang w:val="el-GR"/>
        </w:rPr>
        <w:t xml:space="preserve"> </w:t>
      </w:r>
      <w:r w:rsidR="005B1E17" w:rsidRPr="00107775">
        <w:rPr>
          <w:rFonts w:ascii="Arial" w:hAnsi="Arial" w:cs="Arial"/>
          <w:sz w:val="22"/>
          <w:lang w:val="el-GR"/>
        </w:rPr>
        <w:t xml:space="preserve">διατήρησαν </w:t>
      </w:r>
      <w:r w:rsidR="00297D04">
        <w:rPr>
          <w:rFonts w:ascii="Arial" w:hAnsi="Arial" w:cs="Arial"/>
          <w:sz w:val="22"/>
          <w:lang w:val="el-GR"/>
        </w:rPr>
        <w:t xml:space="preserve">τη </w:t>
      </w:r>
      <w:r w:rsidR="005B1E17" w:rsidRPr="00107775">
        <w:rPr>
          <w:rFonts w:ascii="Arial" w:hAnsi="Arial" w:cs="Arial"/>
          <w:sz w:val="22"/>
          <w:lang w:val="el-GR"/>
        </w:rPr>
        <w:t>θετική δυναμική το Δ’ τρίμηνο</w:t>
      </w:r>
      <w:r w:rsidR="005C492A">
        <w:rPr>
          <w:rFonts w:ascii="Arial" w:hAnsi="Arial" w:cs="Arial"/>
          <w:sz w:val="22"/>
          <w:lang w:val="el-GR"/>
        </w:rPr>
        <w:t xml:space="preserve"> του 2024 αυξημένα κατά 1,4%.</w:t>
      </w:r>
      <w:r w:rsidR="00FC77E8" w:rsidRPr="00FC77E8">
        <w:rPr>
          <w:rFonts w:ascii="Arial" w:hAnsi="Arial" w:cs="Arial"/>
          <w:sz w:val="22"/>
          <w:lang w:val="el-GR"/>
        </w:rPr>
        <w:t xml:space="preserve"> </w:t>
      </w:r>
      <w:r w:rsidR="00FC77E8" w:rsidRPr="00666F16">
        <w:rPr>
          <w:rFonts w:ascii="Arial" w:hAnsi="Arial" w:cs="Arial"/>
          <w:sz w:val="22"/>
          <w:lang w:val="el-GR"/>
        </w:rPr>
        <w:t>H</w:t>
      </w:r>
      <w:r w:rsidR="00FC77E8" w:rsidRPr="00FC77E8">
        <w:rPr>
          <w:rFonts w:ascii="Arial" w:hAnsi="Arial" w:cs="Arial"/>
          <w:sz w:val="22"/>
          <w:lang w:val="el-GR"/>
        </w:rPr>
        <w:t xml:space="preserve"> </w:t>
      </w:r>
      <w:r w:rsidR="00FC77E8">
        <w:rPr>
          <w:rFonts w:ascii="Arial" w:hAnsi="Arial" w:cs="Arial"/>
          <w:sz w:val="22"/>
          <w:lang w:val="el-GR"/>
        </w:rPr>
        <w:t>επιβράδυνση του ρυθμού ανάπτυξης αποδίδεται σε λόγους συγκρισιμότητας</w:t>
      </w:r>
      <w:r w:rsidR="00B0347E">
        <w:rPr>
          <w:rFonts w:ascii="Arial" w:hAnsi="Arial" w:cs="Arial"/>
          <w:sz w:val="22"/>
          <w:lang w:val="el-GR"/>
        </w:rPr>
        <w:t xml:space="preserve"> </w:t>
      </w:r>
      <w:r w:rsidR="00B55922">
        <w:rPr>
          <w:rFonts w:ascii="Arial" w:hAnsi="Arial" w:cs="Arial"/>
          <w:sz w:val="22"/>
          <w:lang w:val="el-GR"/>
        </w:rPr>
        <w:t>λόγω</w:t>
      </w:r>
      <w:r w:rsidR="00926133">
        <w:rPr>
          <w:rFonts w:ascii="Arial" w:hAnsi="Arial" w:cs="Arial"/>
          <w:sz w:val="22"/>
          <w:lang w:val="el-GR"/>
        </w:rPr>
        <w:t xml:space="preserve"> </w:t>
      </w:r>
      <w:r w:rsidR="00FC77E8" w:rsidRPr="00FC77E8">
        <w:rPr>
          <w:rFonts w:ascii="Arial" w:hAnsi="Arial" w:cs="Arial"/>
          <w:sz w:val="22"/>
          <w:lang w:val="el-GR"/>
        </w:rPr>
        <w:t>ορισμέν</w:t>
      </w:r>
      <w:r w:rsidR="00B55922">
        <w:rPr>
          <w:rFonts w:ascii="Arial" w:hAnsi="Arial" w:cs="Arial"/>
          <w:sz w:val="22"/>
          <w:lang w:val="el-GR"/>
        </w:rPr>
        <w:t>ων</w:t>
      </w:r>
      <w:r w:rsidR="00FC77E8" w:rsidRPr="00FC77E8">
        <w:rPr>
          <w:rFonts w:ascii="Arial" w:hAnsi="Arial" w:cs="Arial"/>
          <w:sz w:val="22"/>
          <w:lang w:val="el-GR"/>
        </w:rPr>
        <w:t xml:space="preserve"> πρωτοβουλ</w:t>
      </w:r>
      <w:r w:rsidR="00B55922">
        <w:rPr>
          <w:rFonts w:ascii="Arial" w:hAnsi="Arial" w:cs="Arial"/>
          <w:sz w:val="22"/>
          <w:lang w:val="el-GR"/>
        </w:rPr>
        <w:t>ιών</w:t>
      </w:r>
      <w:r w:rsidR="00FC77E8" w:rsidRPr="00FC77E8">
        <w:rPr>
          <w:rFonts w:ascii="Arial" w:hAnsi="Arial" w:cs="Arial"/>
          <w:sz w:val="22"/>
          <w:lang w:val="el-GR"/>
        </w:rPr>
        <w:t xml:space="preserve"> που εισήχθησαν στο τέταρτο τρίμηνο του 2023</w:t>
      </w:r>
      <w:r w:rsidR="00FF4077">
        <w:rPr>
          <w:rFonts w:ascii="Arial" w:hAnsi="Arial" w:cs="Arial"/>
          <w:sz w:val="22"/>
          <w:lang w:val="el-GR"/>
        </w:rPr>
        <w:t xml:space="preserve"> κυρίως στην καρτοκινητή, καθώς και στην </w:t>
      </w:r>
      <w:r w:rsidR="00FF4077" w:rsidRPr="00C2277E">
        <w:rPr>
          <w:rFonts w:ascii="Arial" w:hAnsi="Arial" w:cs="Arial"/>
          <w:sz w:val="22"/>
          <w:lang w:val="el-GR"/>
        </w:rPr>
        <w:t>κατάργηση της έκπτωσης "</w:t>
      </w:r>
      <w:r w:rsidR="00FF4077" w:rsidRPr="00DF135E">
        <w:rPr>
          <w:rFonts w:ascii="Arial" w:hAnsi="Arial" w:cs="Arial"/>
          <w:sz w:val="22"/>
        </w:rPr>
        <w:t>e</w:t>
      </w:r>
      <w:r w:rsidR="00FF4077" w:rsidRPr="00C2277E">
        <w:rPr>
          <w:rFonts w:ascii="Arial" w:hAnsi="Arial" w:cs="Arial"/>
          <w:sz w:val="22"/>
          <w:lang w:val="el-GR"/>
        </w:rPr>
        <w:t>-</w:t>
      </w:r>
      <w:r w:rsidR="00FF4077" w:rsidRPr="00DF135E">
        <w:rPr>
          <w:rFonts w:ascii="Arial" w:hAnsi="Arial" w:cs="Arial"/>
          <w:sz w:val="22"/>
        </w:rPr>
        <w:t>bill</w:t>
      </w:r>
      <w:r w:rsidR="00FF4077" w:rsidRPr="00C2277E">
        <w:rPr>
          <w:rFonts w:ascii="Arial" w:hAnsi="Arial" w:cs="Arial"/>
          <w:sz w:val="22"/>
          <w:lang w:val="el-GR"/>
        </w:rPr>
        <w:t>"</w:t>
      </w:r>
      <w:r w:rsidR="00FC77E8" w:rsidRPr="00666F16">
        <w:rPr>
          <w:rFonts w:ascii="Arial" w:hAnsi="Arial" w:cs="Arial"/>
          <w:sz w:val="22"/>
          <w:lang w:val="el-GR"/>
        </w:rPr>
        <w:t>.</w:t>
      </w:r>
      <w:r w:rsidR="00FC77E8" w:rsidRPr="00FC77E8">
        <w:rPr>
          <w:rFonts w:ascii="Arial" w:hAnsi="Arial" w:cs="Arial"/>
          <w:sz w:val="22"/>
          <w:lang w:val="el-GR"/>
        </w:rPr>
        <w:t xml:space="preserve"> </w:t>
      </w:r>
      <w:r w:rsidRPr="00107775">
        <w:rPr>
          <w:rFonts w:ascii="Arial" w:hAnsi="Arial" w:cs="Arial"/>
          <w:sz w:val="22"/>
          <w:lang w:val="el-GR"/>
        </w:rPr>
        <w:t xml:space="preserve"> </w:t>
      </w:r>
      <w:r w:rsidR="00B0347E">
        <w:rPr>
          <w:rFonts w:ascii="Arial" w:hAnsi="Arial" w:cs="Arial"/>
          <w:sz w:val="22"/>
          <w:lang w:val="el-GR"/>
        </w:rPr>
        <w:t>Η συνεχιζόμενη ανάπτυξη</w:t>
      </w:r>
      <w:r w:rsidR="00EC7694">
        <w:rPr>
          <w:rFonts w:ascii="Arial" w:hAnsi="Arial" w:cs="Arial"/>
          <w:sz w:val="22"/>
          <w:lang w:val="el-GR"/>
        </w:rPr>
        <w:t xml:space="preserve"> στο κομμάτι της κινητής αντανακλά </w:t>
      </w:r>
      <w:r w:rsidR="00FF4077">
        <w:rPr>
          <w:rFonts w:ascii="Arial" w:hAnsi="Arial" w:cs="Arial"/>
          <w:sz w:val="22"/>
          <w:lang w:val="el-GR"/>
        </w:rPr>
        <w:t>κυρίως</w:t>
      </w:r>
      <w:r w:rsidR="00EC7694" w:rsidRPr="00666F16">
        <w:rPr>
          <w:rFonts w:ascii="Arial" w:hAnsi="Arial" w:cs="Arial"/>
          <w:sz w:val="22"/>
          <w:lang w:val="el-GR"/>
        </w:rPr>
        <w:t xml:space="preserve"> </w:t>
      </w:r>
      <w:r w:rsidR="00EC7694">
        <w:rPr>
          <w:rFonts w:ascii="Arial" w:hAnsi="Arial" w:cs="Arial"/>
          <w:sz w:val="22"/>
          <w:lang w:val="el-GR"/>
        </w:rPr>
        <w:t>τη</w:t>
      </w:r>
      <w:r w:rsidR="00F368A3">
        <w:rPr>
          <w:rFonts w:ascii="Arial" w:hAnsi="Arial" w:cs="Arial"/>
          <w:sz w:val="22"/>
          <w:lang w:val="el-GR"/>
        </w:rPr>
        <w:t xml:space="preserve"> </w:t>
      </w:r>
      <w:r w:rsidR="00F368A3" w:rsidRPr="00F368A3">
        <w:rPr>
          <w:rFonts w:ascii="Arial" w:hAnsi="Arial" w:cs="Arial"/>
          <w:sz w:val="22"/>
          <w:lang w:val="el-GR"/>
        </w:rPr>
        <w:t xml:space="preserve">μετάβαση πελατών </w:t>
      </w:r>
      <w:r w:rsidRPr="00F368A3">
        <w:rPr>
          <w:rFonts w:ascii="Arial" w:hAnsi="Arial" w:cs="Arial"/>
          <w:sz w:val="22"/>
          <w:lang w:val="el-GR"/>
        </w:rPr>
        <w:t xml:space="preserve">καρτοκινητής </w:t>
      </w:r>
      <w:r w:rsidR="00F368A3" w:rsidRPr="00F368A3">
        <w:rPr>
          <w:rFonts w:ascii="Arial" w:hAnsi="Arial" w:cs="Arial"/>
          <w:sz w:val="22"/>
          <w:lang w:val="el-GR"/>
        </w:rPr>
        <w:t>σε υπηρεσίες συμβολαίου</w:t>
      </w:r>
      <w:r w:rsidR="00061E89">
        <w:rPr>
          <w:rFonts w:ascii="Arial" w:hAnsi="Arial" w:cs="Arial"/>
          <w:sz w:val="22"/>
          <w:lang w:val="el-GR"/>
        </w:rPr>
        <w:t>,</w:t>
      </w:r>
      <w:r w:rsidR="00F368A3">
        <w:rPr>
          <w:rFonts w:ascii="Arial" w:hAnsi="Arial" w:cs="Arial"/>
          <w:sz w:val="22"/>
          <w:lang w:val="el-GR"/>
        </w:rPr>
        <w:t xml:space="preserve"> καθώς και </w:t>
      </w:r>
      <w:r>
        <w:rPr>
          <w:rFonts w:ascii="Arial" w:hAnsi="Arial" w:cs="Arial"/>
          <w:sz w:val="22"/>
          <w:lang w:val="el-GR"/>
        </w:rPr>
        <w:t xml:space="preserve">τη </w:t>
      </w:r>
      <w:r w:rsidRPr="00107775">
        <w:rPr>
          <w:rFonts w:ascii="Arial" w:hAnsi="Arial" w:cs="Arial"/>
          <w:sz w:val="22"/>
          <w:lang w:val="el-GR"/>
        </w:rPr>
        <w:t>μετάβαση των πελατών</w:t>
      </w:r>
      <w:r>
        <w:rPr>
          <w:rFonts w:ascii="Arial" w:hAnsi="Arial" w:cs="Arial"/>
          <w:sz w:val="22"/>
          <w:lang w:val="el-GR"/>
        </w:rPr>
        <w:t xml:space="preserve"> </w:t>
      </w:r>
      <w:r w:rsidR="00EC7694" w:rsidRPr="00107775">
        <w:rPr>
          <w:rFonts w:ascii="Arial" w:hAnsi="Arial" w:cs="Arial"/>
          <w:sz w:val="22"/>
          <w:lang w:val="el-GR"/>
        </w:rPr>
        <w:t xml:space="preserve"> </w:t>
      </w:r>
      <w:r w:rsidRPr="00107775">
        <w:rPr>
          <w:rFonts w:ascii="Arial" w:hAnsi="Arial" w:cs="Arial"/>
          <w:sz w:val="22"/>
          <w:lang w:val="el-GR"/>
        </w:rPr>
        <w:t>σε υπηρεσίες υψηλότερης αξίας</w:t>
      </w:r>
      <w:r w:rsidR="007550C7">
        <w:rPr>
          <w:rFonts w:ascii="Arial" w:hAnsi="Arial" w:cs="Arial"/>
          <w:sz w:val="22"/>
          <w:lang w:val="el-GR"/>
        </w:rPr>
        <w:t>.</w:t>
      </w:r>
      <w:r w:rsidR="00615528" w:rsidRPr="00107775">
        <w:rPr>
          <w:rFonts w:ascii="Arial" w:hAnsi="Arial" w:cs="Arial"/>
          <w:sz w:val="22"/>
          <w:lang w:val="el-GR"/>
        </w:rPr>
        <w:t xml:space="preserve"> </w:t>
      </w:r>
      <w:r w:rsidR="00184211" w:rsidRPr="00107775">
        <w:rPr>
          <w:rFonts w:ascii="Arial" w:hAnsi="Arial" w:cs="Arial"/>
          <w:sz w:val="22"/>
          <w:lang w:val="el-GR"/>
        </w:rPr>
        <w:t xml:space="preserve">Το εξαιρετικά υψηλό ποσοστό </w:t>
      </w:r>
      <w:r w:rsidR="004F2979" w:rsidRPr="00107775">
        <w:rPr>
          <w:rFonts w:ascii="Arial" w:hAnsi="Arial" w:cs="Arial"/>
          <w:sz w:val="22"/>
          <w:lang w:val="el-GR"/>
        </w:rPr>
        <w:t>πελατών</w:t>
      </w:r>
      <w:r w:rsidR="00184211" w:rsidRPr="00107775">
        <w:rPr>
          <w:rFonts w:ascii="Arial" w:hAnsi="Arial" w:cs="Arial"/>
          <w:sz w:val="22"/>
          <w:lang w:val="el-GR"/>
        </w:rPr>
        <w:t xml:space="preserve"> καρτοκινητής, σε συνδυασμό με τη </w:t>
      </w:r>
      <w:r w:rsidR="00475D3E" w:rsidRPr="00107775">
        <w:rPr>
          <w:rFonts w:ascii="Arial" w:hAnsi="Arial" w:cs="Arial"/>
          <w:sz w:val="22"/>
          <w:lang w:val="el-GR"/>
        </w:rPr>
        <w:t>δυνατότητα αύξησης της</w:t>
      </w:r>
      <w:r w:rsidR="00184211" w:rsidRPr="00107775">
        <w:rPr>
          <w:rFonts w:ascii="Arial" w:hAnsi="Arial" w:cs="Arial"/>
          <w:sz w:val="22"/>
          <w:lang w:val="el-GR"/>
        </w:rPr>
        <w:t xml:space="preserve"> </w:t>
      </w:r>
      <w:r w:rsidR="00475D3E" w:rsidRPr="00107775">
        <w:rPr>
          <w:rFonts w:ascii="Arial" w:hAnsi="Arial" w:cs="Arial"/>
          <w:sz w:val="22"/>
          <w:lang w:val="el-GR"/>
        </w:rPr>
        <w:t xml:space="preserve">χρήσης </w:t>
      </w:r>
      <w:r w:rsidR="00184211" w:rsidRPr="00107775">
        <w:rPr>
          <w:rFonts w:ascii="Arial" w:hAnsi="Arial" w:cs="Arial"/>
          <w:sz w:val="22"/>
          <w:lang w:val="el-GR"/>
        </w:rPr>
        <w:t xml:space="preserve">δεδομένων, παρέχει μια </w:t>
      </w:r>
      <w:r w:rsidR="00061E89">
        <w:rPr>
          <w:rFonts w:ascii="Arial" w:hAnsi="Arial" w:cs="Arial"/>
          <w:sz w:val="22"/>
          <w:lang w:val="el-GR"/>
        </w:rPr>
        <w:t>σημαντική</w:t>
      </w:r>
      <w:r w:rsidR="00061E89" w:rsidRPr="00107775">
        <w:rPr>
          <w:rFonts w:ascii="Arial" w:hAnsi="Arial" w:cs="Arial"/>
          <w:sz w:val="22"/>
          <w:lang w:val="el-GR"/>
        </w:rPr>
        <w:t xml:space="preserve"> </w:t>
      </w:r>
      <w:r w:rsidR="00184211" w:rsidRPr="00107775">
        <w:rPr>
          <w:rFonts w:ascii="Arial" w:hAnsi="Arial" w:cs="Arial"/>
          <w:sz w:val="22"/>
          <w:lang w:val="el-GR"/>
        </w:rPr>
        <w:t>ευκαιρία ανάπτυξης.</w:t>
      </w:r>
      <w:r w:rsidR="007550C7">
        <w:rPr>
          <w:rFonts w:ascii="Arial" w:hAnsi="Arial" w:cs="Arial"/>
          <w:sz w:val="22"/>
          <w:lang w:val="el-GR"/>
        </w:rPr>
        <w:t xml:space="preserve"> </w:t>
      </w:r>
      <w:r w:rsidR="007550C7" w:rsidRPr="00666F16">
        <w:rPr>
          <w:rFonts w:ascii="Arial" w:hAnsi="Arial" w:cs="Arial"/>
          <w:sz w:val="22"/>
          <w:lang w:val="el-GR"/>
        </w:rPr>
        <w:t>Επιπλέον, η Εταιρεία ανακοίνωσε πρόσφατα ορισμένες πρωτοβουλίες στον τομέα της καρτοκινητής, που αναμένεται να υποστηρίξουν περαιτέρω την ανάπτυξη της κινητής τηλεφωνίας στην επόμενη περίοδο.</w:t>
      </w:r>
      <w:r w:rsidR="00BA7381" w:rsidRPr="00666F16">
        <w:rPr>
          <w:rFonts w:ascii="Arial" w:hAnsi="Arial" w:cs="Arial"/>
          <w:sz w:val="22"/>
          <w:lang w:val="el-GR"/>
        </w:rPr>
        <w:t xml:space="preserve"> </w:t>
      </w:r>
      <w:r w:rsidR="00BA7381" w:rsidRPr="00BA7381">
        <w:rPr>
          <w:rFonts w:ascii="Arial" w:hAnsi="Arial" w:cs="Arial"/>
          <w:sz w:val="22"/>
          <w:lang w:val="el-GR"/>
        </w:rPr>
        <w:t xml:space="preserve">Για το 2024, τα έσοδα </w:t>
      </w:r>
      <w:r w:rsidR="00BA7381" w:rsidRPr="00666F16">
        <w:rPr>
          <w:rFonts w:ascii="Arial" w:hAnsi="Arial" w:cs="Arial"/>
          <w:sz w:val="22"/>
          <w:lang w:val="el-GR"/>
        </w:rPr>
        <w:t>περιαγωγής</w:t>
      </w:r>
      <w:r w:rsidR="00BA7381" w:rsidRPr="00BA7381">
        <w:rPr>
          <w:rFonts w:ascii="Arial" w:hAnsi="Arial" w:cs="Arial"/>
          <w:sz w:val="22"/>
          <w:lang w:val="el-GR"/>
        </w:rPr>
        <w:t xml:space="preserve"> ανήλθαν σε </w:t>
      </w:r>
      <w:r w:rsidR="00BA7381">
        <w:rPr>
          <w:rFonts w:ascii="Arial" w:hAnsi="Arial" w:cs="Arial"/>
          <w:sz w:val="22"/>
          <w:lang w:val="el-GR"/>
        </w:rPr>
        <w:t>€</w:t>
      </w:r>
      <w:r w:rsidR="00BA7381" w:rsidRPr="00BA7381">
        <w:rPr>
          <w:rFonts w:ascii="Arial" w:hAnsi="Arial" w:cs="Arial"/>
          <w:sz w:val="22"/>
          <w:lang w:val="el-GR"/>
        </w:rPr>
        <w:t xml:space="preserve">54 </w:t>
      </w:r>
      <w:r w:rsidR="00BA7381">
        <w:rPr>
          <w:rFonts w:ascii="Arial" w:hAnsi="Arial" w:cs="Arial"/>
          <w:sz w:val="22"/>
          <w:lang w:val="el-GR"/>
        </w:rPr>
        <w:t>εκατ.</w:t>
      </w:r>
      <w:r w:rsidR="00BA7381" w:rsidRPr="00BA7381">
        <w:rPr>
          <w:rFonts w:ascii="Arial" w:hAnsi="Arial" w:cs="Arial"/>
          <w:sz w:val="22"/>
          <w:lang w:val="el-GR"/>
        </w:rPr>
        <w:t xml:space="preserve"> ευρώ, καταγράφοντας αύξηση 3,5% σε σύγκριση με το προηγούμενο έτος.</w:t>
      </w:r>
    </w:p>
    <w:p w14:paraId="7105283A" w14:textId="33FCAAC9" w:rsidR="00335C20" w:rsidRPr="00DD5E2E" w:rsidRDefault="00CA0AA1" w:rsidP="005D64D5">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393FC5">
        <w:rPr>
          <w:rFonts w:ascii="Arial" w:hAnsi="Arial" w:cs="Arial"/>
          <w:b/>
          <w:bCs/>
          <w:sz w:val="22"/>
          <w:lang w:val="el-GR"/>
        </w:rPr>
        <w:t>Τα έσοδα από υπηρεσίες χονδρικής</w:t>
      </w:r>
      <w:r w:rsidRPr="00393FC5">
        <w:rPr>
          <w:rFonts w:ascii="Arial" w:hAnsi="Arial" w:cs="Arial"/>
          <w:sz w:val="22"/>
          <w:lang w:val="el-GR"/>
        </w:rPr>
        <w:t xml:space="preserve"> κατέγραψαν </w:t>
      </w:r>
      <w:r w:rsidR="00B93E8B" w:rsidRPr="00393FC5">
        <w:rPr>
          <w:rFonts w:ascii="Arial" w:hAnsi="Arial" w:cs="Arial"/>
          <w:sz w:val="22"/>
          <w:lang w:val="el-GR"/>
        </w:rPr>
        <w:t>μείωση</w:t>
      </w:r>
      <w:r w:rsidRPr="00393FC5">
        <w:rPr>
          <w:rFonts w:ascii="Arial" w:hAnsi="Arial" w:cs="Arial"/>
          <w:sz w:val="22"/>
          <w:lang w:val="el-GR"/>
        </w:rPr>
        <w:t xml:space="preserve"> </w:t>
      </w:r>
      <w:r w:rsidR="00C80B1E" w:rsidRPr="00393FC5">
        <w:rPr>
          <w:rFonts w:ascii="Arial" w:hAnsi="Arial" w:cs="Arial"/>
          <w:sz w:val="22"/>
          <w:lang w:val="el-GR"/>
        </w:rPr>
        <w:t>13,9</w:t>
      </w:r>
      <w:r w:rsidRPr="00393FC5">
        <w:rPr>
          <w:rFonts w:ascii="Arial" w:hAnsi="Arial" w:cs="Arial"/>
          <w:sz w:val="22"/>
          <w:lang w:val="el-GR"/>
        </w:rPr>
        <w:t>% στο τρίμηνο,</w:t>
      </w:r>
      <w:r w:rsidR="00FB1C48" w:rsidRPr="00393FC5">
        <w:rPr>
          <w:rFonts w:ascii="Arial" w:hAnsi="Arial" w:cs="Arial"/>
          <w:sz w:val="22"/>
          <w:lang w:val="el-GR"/>
        </w:rPr>
        <w:t xml:space="preserve"> λόγω </w:t>
      </w:r>
      <w:r w:rsidR="00061E89">
        <w:rPr>
          <w:rFonts w:ascii="Arial" w:hAnsi="Arial" w:cs="Arial"/>
          <w:sz w:val="22"/>
          <w:lang w:val="el-GR"/>
        </w:rPr>
        <w:t xml:space="preserve">τόσο των </w:t>
      </w:r>
      <w:r w:rsidR="00FB1C48" w:rsidRPr="00393FC5">
        <w:rPr>
          <w:rFonts w:ascii="Arial" w:hAnsi="Arial" w:cs="Arial"/>
          <w:sz w:val="22"/>
          <w:lang w:val="el-GR"/>
        </w:rPr>
        <w:t xml:space="preserve">χαμηλότερων εσόδων από </w:t>
      </w:r>
      <w:r w:rsidR="00702263" w:rsidRPr="00393FC5">
        <w:rPr>
          <w:rFonts w:ascii="Arial" w:hAnsi="Arial" w:cs="Arial"/>
          <w:sz w:val="22"/>
          <w:lang w:val="el-GR"/>
        </w:rPr>
        <w:t xml:space="preserve">διεθνή κίνηση </w:t>
      </w:r>
      <w:r w:rsidR="00FB1C48" w:rsidRPr="00393FC5">
        <w:rPr>
          <w:rFonts w:ascii="Arial" w:hAnsi="Arial" w:cs="Arial"/>
          <w:sz w:val="22"/>
          <w:lang w:val="el-GR"/>
        </w:rPr>
        <w:t>χαμηλού</w:t>
      </w:r>
      <w:r w:rsidR="00F21C18" w:rsidRPr="00393FC5">
        <w:rPr>
          <w:rFonts w:ascii="Arial" w:hAnsi="Arial" w:cs="Arial"/>
          <w:sz w:val="22"/>
          <w:lang w:val="el-GR"/>
        </w:rPr>
        <w:t xml:space="preserve"> </w:t>
      </w:r>
      <w:r w:rsidR="00FB1C48" w:rsidRPr="00393FC5">
        <w:rPr>
          <w:rFonts w:ascii="Arial" w:hAnsi="Arial" w:cs="Arial"/>
          <w:sz w:val="22"/>
          <w:lang w:val="el-GR"/>
        </w:rPr>
        <w:t>περιθωρίου</w:t>
      </w:r>
      <w:r w:rsidR="00702263" w:rsidRPr="00393FC5">
        <w:rPr>
          <w:rFonts w:ascii="Arial" w:hAnsi="Arial" w:cs="Arial"/>
          <w:sz w:val="22"/>
          <w:lang w:val="el-GR"/>
        </w:rPr>
        <w:t xml:space="preserve"> κέρδους</w:t>
      </w:r>
      <w:r w:rsidR="00061E89">
        <w:rPr>
          <w:rFonts w:ascii="Arial" w:hAnsi="Arial" w:cs="Arial"/>
          <w:sz w:val="22"/>
          <w:lang w:val="el-GR"/>
        </w:rPr>
        <w:t>,</w:t>
      </w:r>
      <w:r w:rsidR="00F21C18" w:rsidRPr="00393FC5">
        <w:rPr>
          <w:rFonts w:ascii="Arial" w:hAnsi="Arial" w:cs="Arial"/>
          <w:sz w:val="22"/>
          <w:lang w:val="el-GR"/>
        </w:rPr>
        <w:t xml:space="preserve"> </w:t>
      </w:r>
      <w:r w:rsidR="00061E89">
        <w:rPr>
          <w:rFonts w:ascii="Arial" w:hAnsi="Arial" w:cs="Arial"/>
          <w:sz w:val="22"/>
          <w:lang w:val="el-GR"/>
        </w:rPr>
        <w:t xml:space="preserve">όσο </w:t>
      </w:r>
      <w:r w:rsidR="0037601E">
        <w:rPr>
          <w:rFonts w:ascii="Arial" w:hAnsi="Arial" w:cs="Arial"/>
          <w:sz w:val="22"/>
          <w:lang w:val="el-GR"/>
        </w:rPr>
        <w:t xml:space="preserve">και </w:t>
      </w:r>
      <w:r w:rsidR="00061E89">
        <w:rPr>
          <w:rFonts w:ascii="Arial" w:hAnsi="Arial" w:cs="Arial"/>
          <w:sz w:val="22"/>
          <w:lang w:val="el-GR"/>
        </w:rPr>
        <w:t xml:space="preserve">της </w:t>
      </w:r>
      <w:r w:rsidR="0037601E">
        <w:rPr>
          <w:rFonts w:ascii="Arial" w:hAnsi="Arial" w:cs="Arial"/>
          <w:sz w:val="22"/>
          <w:lang w:val="el-GR"/>
        </w:rPr>
        <w:t>αναμενόμενη</w:t>
      </w:r>
      <w:r w:rsidR="00061E89">
        <w:rPr>
          <w:rFonts w:ascii="Arial" w:hAnsi="Arial" w:cs="Arial"/>
          <w:sz w:val="22"/>
          <w:lang w:val="el-GR"/>
        </w:rPr>
        <w:t>ς</w:t>
      </w:r>
      <w:r w:rsidR="00F21C18" w:rsidRPr="00393FC5">
        <w:rPr>
          <w:rFonts w:ascii="Arial" w:hAnsi="Arial" w:cs="Arial"/>
          <w:sz w:val="22"/>
          <w:lang w:val="el-GR"/>
        </w:rPr>
        <w:t xml:space="preserve"> πτώση</w:t>
      </w:r>
      <w:r w:rsidR="00061E89">
        <w:rPr>
          <w:rFonts w:ascii="Arial" w:hAnsi="Arial" w:cs="Arial"/>
          <w:sz w:val="22"/>
          <w:lang w:val="el-GR"/>
        </w:rPr>
        <w:t>ς</w:t>
      </w:r>
      <w:r w:rsidR="00F21C18" w:rsidRPr="00393FC5">
        <w:rPr>
          <w:rFonts w:ascii="Arial" w:hAnsi="Arial" w:cs="Arial"/>
          <w:sz w:val="22"/>
          <w:lang w:val="el-GR"/>
        </w:rPr>
        <w:t xml:space="preserve"> </w:t>
      </w:r>
      <w:r w:rsidRPr="00393FC5">
        <w:rPr>
          <w:rFonts w:ascii="Arial" w:hAnsi="Arial" w:cs="Arial"/>
          <w:sz w:val="22"/>
          <w:lang w:val="el-GR"/>
        </w:rPr>
        <w:t>στις εγχώριες ροές χονδρικής</w:t>
      </w:r>
      <w:r w:rsidR="00790AA5" w:rsidRPr="00393FC5">
        <w:rPr>
          <w:rFonts w:ascii="Arial" w:hAnsi="Arial" w:cs="Arial"/>
          <w:sz w:val="22"/>
          <w:lang w:val="el-GR"/>
        </w:rPr>
        <w:t>,</w:t>
      </w:r>
      <w:r w:rsidRPr="00393FC5">
        <w:rPr>
          <w:rFonts w:ascii="Arial" w:hAnsi="Arial" w:cs="Arial"/>
          <w:sz w:val="22"/>
          <w:lang w:val="el-GR"/>
        </w:rPr>
        <w:t xml:space="preserve"> που σχετίζεται με τις υποδομές δικτύων των υπόλοιπων παρόχων</w:t>
      </w:r>
      <w:r w:rsidR="00D27500" w:rsidRPr="00393FC5">
        <w:rPr>
          <w:rFonts w:ascii="Arial" w:hAnsi="Arial" w:cs="Arial"/>
          <w:sz w:val="22"/>
          <w:lang w:val="el-GR"/>
        </w:rPr>
        <w:t>.</w:t>
      </w:r>
      <w:r w:rsidRPr="00393FC5">
        <w:rPr>
          <w:rFonts w:ascii="Arial" w:hAnsi="Arial" w:cs="Arial"/>
          <w:sz w:val="22"/>
          <w:lang w:val="el-GR"/>
        </w:rPr>
        <w:t xml:space="preserve"> </w:t>
      </w:r>
      <w:r w:rsidR="00727C27" w:rsidRPr="00393FC5">
        <w:rPr>
          <w:rFonts w:ascii="Arial" w:hAnsi="Arial" w:cs="Arial"/>
          <w:sz w:val="22"/>
          <w:lang w:val="el-GR"/>
        </w:rPr>
        <w:lastRenderedPageBreak/>
        <w:t xml:space="preserve">Η συμφωνία στην αγορά χονδρικής FTTH </w:t>
      </w:r>
      <w:r w:rsidR="00441417" w:rsidRPr="00393FC5">
        <w:rPr>
          <w:rFonts w:ascii="Arial" w:hAnsi="Arial" w:cs="Arial"/>
          <w:sz w:val="22"/>
          <w:lang w:val="el-GR"/>
        </w:rPr>
        <w:t>θα</w:t>
      </w:r>
      <w:r w:rsidR="00727C27" w:rsidRPr="00393FC5">
        <w:rPr>
          <w:rFonts w:ascii="Arial" w:hAnsi="Arial" w:cs="Arial"/>
          <w:sz w:val="22"/>
          <w:lang w:val="el-GR"/>
        </w:rPr>
        <w:t xml:space="preserve"> επιτρέψει στον ΟΤΕ</w:t>
      </w:r>
      <w:r w:rsidR="00FB3DE9" w:rsidRPr="00393FC5">
        <w:rPr>
          <w:rFonts w:ascii="Arial" w:hAnsi="Arial" w:cs="Arial"/>
          <w:sz w:val="22"/>
          <w:lang w:val="el-GR"/>
        </w:rPr>
        <w:t xml:space="preserve"> </w:t>
      </w:r>
      <w:r w:rsidR="00441417" w:rsidRPr="00393FC5">
        <w:rPr>
          <w:rFonts w:ascii="Arial" w:hAnsi="Arial" w:cs="Arial"/>
          <w:sz w:val="22"/>
          <w:lang w:val="el-GR"/>
        </w:rPr>
        <w:t xml:space="preserve">να μετριάσει </w:t>
      </w:r>
      <w:r w:rsidR="00FB3DE9" w:rsidRPr="00393FC5">
        <w:rPr>
          <w:rFonts w:ascii="Arial" w:hAnsi="Arial" w:cs="Arial"/>
          <w:sz w:val="22"/>
          <w:lang w:val="el-GR"/>
        </w:rPr>
        <w:t>μερικώς</w:t>
      </w:r>
      <w:r w:rsidR="00727C27" w:rsidRPr="00393FC5" w:rsidDel="00FB3DE9">
        <w:rPr>
          <w:rFonts w:ascii="Arial" w:hAnsi="Arial" w:cs="Arial"/>
          <w:sz w:val="22"/>
          <w:lang w:val="el-GR"/>
        </w:rPr>
        <w:t xml:space="preserve"> </w:t>
      </w:r>
      <w:r w:rsidR="00441417" w:rsidRPr="00393FC5">
        <w:rPr>
          <w:rFonts w:ascii="Arial" w:hAnsi="Arial" w:cs="Arial"/>
          <w:sz w:val="22"/>
          <w:lang w:val="el-GR"/>
        </w:rPr>
        <w:t>τον αρνητικό αντίκτυπο</w:t>
      </w:r>
      <w:r w:rsidR="00727C27" w:rsidRPr="00393FC5">
        <w:rPr>
          <w:rFonts w:ascii="Arial" w:hAnsi="Arial" w:cs="Arial"/>
          <w:sz w:val="22"/>
          <w:lang w:val="el-GR"/>
        </w:rPr>
        <w:t>.</w:t>
      </w:r>
      <w:r w:rsidR="007D7BA5" w:rsidRPr="00393FC5">
        <w:rPr>
          <w:rFonts w:ascii="Arial" w:hAnsi="Arial" w:cs="Arial"/>
          <w:sz w:val="22"/>
          <w:lang w:val="el-GR"/>
        </w:rPr>
        <w:t xml:space="preserve"> </w:t>
      </w:r>
    </w:p>
    <w:p w14:paraId="1C7A3F06" w14:textId="78F29B29" w:rsidR="00F3378C" w:rsidRPr="00F3378C" w:rsidRDefault="00E30BE2" w:rsidP="00FE61EB">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335C20">
        <w:rPr>
          <w:rFonts w:ascii="Arial" w:hAnsi="Arial" w:cs="Arial"/>
          <w:b/>
          <w:bCs/>
          <w:sz w:val="22"/>
          <w:lang w:val="el-GR"/>
        </w:rPr>
        <w:t>Τα λοιπά έσοδα</w:t>
      </w:r>
      <w:r w:rsidRPr="00335C20">
        <w:rPr>
          <w:rFonts w:ascii="Arial" w:hAnsi="Arial" w:cs="Arial"/>
          <w:sz w:val="22"/>
          <w:lang w:val="el-GR"/>
        </w:rPr>
        <w:t xml:space="preserve"> αυξήθηκαν κατά </w:t>
      </w:r>
      <w:r w:rsidR="001139E2" w:rsidRPr="00335C20">
        <w:rPr>
          <w:rFonts w:ascii="Arial" w:hAnsi="Arial" w:cs="Arial"/>
          <w:sz w:val="22"/>
          <w:lang w:val="el-GR"/>
        </w:rPr>
        <w:t>4</w:t>
      </w:r>
      <w:r w:rsidR="004E0F76" w:rsidRPr="004E0F76">
        <w:rPr>
          <w:rFonts w:ascii="Arial" w:hAnsi="Arial" w:cs="Arial"/>
          <w:sz w:val="22"/>
          <w:lang w:val="el-GR"/>
        </w:rPr>
        <w:t>,6</w:t>
      </w:r>
      <w:r w:rsidRPr="00335C20">
        <w:rPr>
          <w:rFonts w:ascii="Arial" w:hAnsi="Arial" w:cs="Arial"/>
          <w:sz w:val="22"/>
          <w:lang w:val="el-GR"/>
        </w:rPr>
        <w:t>% στο τρίμηνο</w:t>
      </w:r>
      <w:r w:rsidR="007D7BA5" w:rsidRPr="00335C20">
        <w:rPr>
          <w:rFonts w:ascii="Arial" w:hAnsi="Arial" w:cs="Arial"/>
          <w:sz w:val="22"/>
          <w:lang w:val="el-GR"/>
        </w:rPr>
        <w:t xml:space="preserve">, </w:t>
      </w:r>
      <w:r w:rsidR="00876BA6">
        <w:rPr>
          <w:rFonts w:ascii="Arial" w:hAnsi="Arial" w:cs="Arial"/>
          <w:sz w:val="22"/>
          <w:lang w:val="el-GR"/>
        </w:rPr>
        <w:t xml:space="preserve">υποστηριζόμενα από αύξηση 7,4% στα έσοδα από </w:t>
      </w:r>
      <w:r w:rsidR="00EA11EE">
        <w:rPr>
          <w:rFonts w:ascii="Arial" w:hAnsi="Arial" w:cs="Arial"/>
          <w:sz w:val="22"/>
          <w:lang w:val="el-GR"/>
        </w:rPr>
        <w:t xml:space="preserve">πώληση </w:t>
      </w:r>
      <w:r w:rsidR="00876BA6">
        <w:rPr>
          <w:rFonts w:ascii="Arial" w:hAnsi="Arial" w:cs="Arial"/>
          <w:sz w:val="22"/>
          <w:lang w:val="el-GR"/>
        </w:rPr>
        <w:t>συσκευ</w:t>
      </w:r>
      <w:r w:rsidR="00EA11EE">
        <w:rPr>
          <w:rFonts w:ascii="Arial" w:hAnsi="Arial" w:cs="Arial"/>
          <w:sz w:val="22"/>
          <w:lang w:val="el-GR"/>
        </w:rPr>
        <w:t>ών</w:t>
      </w:r>
      <w:r w:rsidR="00061E89">
        <w:rPr>
          <w:rFonts w:ascii="Arial" w:hAnsi="Arial" w:cs="Arial"/>
          <w:sz w:val="22"/>
          <w:lang w:val="el-GR"/>
        </w:rPr>
        <w:t>,</w:t>
      </w:r>
      <w:r w:rsidR="00443766" w:rsidRPr="00335C20">
        <w:rPr>
          <w:rFonts w:ascii="Arial" w:hAnsi="Arial" w:cs="Arial"/>
          <w:sz w:val="22"/>
          <w:lang w:val="el-GR"/>
        </w:rPr>
        <w:t xml:space="preserve"> </w:t>
      </w:r>
      <w:r w:rsidR="00876BA6">
        <w:rPr>
          <w:rFonts w:ascii="Arial" w:hAnsi="Arial" w:cs="Arial"/>
          <w:sz w:val="22"/>
          <w:lang w:val="el-GR"/>
        </w:rPr>
        <w:t>καθώς και από</w:t>
      </w:r>
      <w:r w:rsidRPr="00335C20">
        <w:rPr>
          <w:rFonts w:ascii="Arial" w:hAnsi="Arial" w:cs="Arial"/>
          <w:sz w:val="22"/>
          <w:lang w:val="el-GR"/>
        </w:rPr>
        <w:t xml:space="preserve"> την </w:t>
      </w:r>
      <w:r w:rsidR="007D7BA5" w:rsidRPr="00335C20">
        <w:rPr>
          <w:rFonts w:ascii="Arial" w:hAnsi="Arial" w:cs="Arial"/>
          <w:sz w:val="22"/>
          <w:lang w:val="el-GR"/>
        </w:rPr>
        <w:t>ισχυρή</w:t>
      </w:r>
      <w:r w:rsidRPr="00335C20">
        <w:rPr>
          <w:rFonts w:ascii="Arial" w:hAnsi="Arial" w:cs="Arial"/>
          <w:sz w:val="22"/>
          <w:lang w:val="el-GR"/>
        </w:rPr>
        <w:t xml:space="preserve"> δυναμική των έργων ICT</w:t>
      </w:r>
      <w:r w:rsidR="00C74D59">
        <w:rPr>
          <w:rFonts w:ascii="Arial" w:hAnsi="Arial" w:cs="Arial"/>
          <w:sz w:val="22"/>
          <w:lang w:val="el-GR"/>
        </w:rPr>
        <w:t xml:space="preserve">. </w:t>
      </w:r>
      <w:r w:rsidR="001D708C">
        <w:rPr>
          <w:rFonts w:ascii="Arial" w:hAnsi="Arial" w:cs="Arial"/>
          <w:sz w:val="22"/>
          <w:lang w:val="el-GR"/>
        </w:rPr>
        <w:t>Ειδικότερα, τ</w:t>
      </w:r>
      <w:r w:rsidR="00C74D59" w:rsidRPr="00FE61EB">
        <w:rPr>
          <w:rFonts w:ascii="Arial" w:hAnsi="Arial" w:cs="Arial"/>
          <w:sz w:val="22"/>
          <w:lang w:val="el-GR"/>
        </w:rPr>
        <w:t>α</w:t>
      </w:r>
      <w:r w:rsidR="007D7BA5" w:rsidRPr="00FE61EB">
        <w:rPr>
          <w:rFonts w:ascii="Arial" w:hAnsi="Arial" w:cs="Arial"/>
          <w:sz w:val="22"/>
          <w:lang w:val="el-GR"/>
        </w:rPr>
        <w:t xml:space="preserve"> </w:t>
      </w:r>
      <w:r w:rsidR="007D7BA5" w:rsidRPr="00335C20">
        <w:rPr>
          <w:rFonts w:ascii="Arial" w:hAnsi="Arial" w:cs="Arial"/>
          <w:sz w:val="22"/>
          <w:lang w:val="el-GR"/>
        </w:rPr>
        <w:t xml:space="preserve">έσοδα από </w:t>
      </w:r>
      <w:r w:rsidR="002E0479" w:rsidRPr="00335C20">
        <w:rPr>
          <w:rFonts w:ascii="Arial" w:hAnsi="Arial" w:cs="Arial"/>
          <w:sz w:val="22"/>
          <w:lang w:val="el-GR"/>
        </w:rPr>
        <w:t>system solutions σημείωσαν</w:t>
      </w:r>
      <w:r w:rsidR="00C74D59">
        <w:rPr>
          <w:rFonts w:ascii="Arial" w:hAnsi="Arial" w:cs="Arial"/>
          <w:sz w:val="22"/>
          <w:lang w:val="el-GR"/>
        </w:rPr>
        <w:t xml:space="preserve"> </w:t>
      </w:r>
      <w:r w:rsidR="002E0479" w:rsidRPr="00335C20">
        <w:rPr>
          <w:rFonts w:ascii="Arial" w:hAnsi="Arial" w:cs="Arial"/>
          <w:sz w:val="22"/>
          <w:lang w:val="el-GR"/>
        </w:rPr>
        <w:t xml:space="preserve">αύξηση </w:t>
      </w:r>
      <w:r w:rsidR="00C74D59">
        <w:rPr>
          <w:rFonts w:ascii="Arial" w:hAnsi="Arial" w:cs="Arial"/>
          <w:sz w:val="22"/>
          <w:lang w:val="el-GR"/>
        </w:rPr>
        <w:t>1</w:t>
      </w:r>
      <w:r w:rsidR="00AD3347" w:rsidRPr="00335C20">
        <w:rPr>
          <w:rFonts w:ascii="Arial" w:hAnsi="Arial" w:cs="Arial"/>
          <w:sz w:val="22"/>
          <w:lang w:val="el-GR"/>
        </w:rPr>
        <w:t>,</w:t>
      </w:r>
      <w:r w:rsidR="00DD5E2E" w:rsidRPr="00DD5E2E">
        <w:rPr>
          <w:rFonts w:ascii="Arial" w:hAnsi="Arial" w:cs="Arial"/>
          <w:sz w:val="22"/>
          <w:lang w:val="el-GR"/>
        </w:rPr>
        <w:t>1</w:t>
      </w:r>
      <w:r w:rsidR="00AD3347" w:rsidRPr="00335C20">
        <w:rPr>
          <w:rFonts w:ascii="Arial" w:hAnsi="Arial" w:cs="Arial"/>
          <w:sz w:val="22"/>
          <w:lang w:val="el-GR"/>
        </w:rPr>
        <w:t>%</w:t>
      </w:r>
      <w:r w:rsidR="009526DC">
        <w:rPr>
          <w:rFonts w:ascii="Arial" w:hAnsi="Arial" w:cs="Arial"/>
          <w:sz w:val="22"/>
          <w:lang w:val="el-GR"/>
        </w:rPr>
        <w:t xml:space="preserve"> στο τρίμηνο, παρά την μη ευνοϊκή βάση σύγκρισης, </w:t>
      </w:r>
      <w:r w:rsidR="009526DC" w:rsidRPr="00335C20">
        <w:rPr>
          <w:rFonts w:ascii="Arial" w:hAnsi="Arial" w:cs="Arial"/>
          <w:sz w:val="22"/>
          <w:lang w:val="el-GR"/>
        </w:rPr>
        <w:t xml:space="preserve">καθώς μεγάλα έργα </w:t>
      </w:r>
      <w:r w:rsidR="00061E89">
        <w:rPr>
          <w:rFonts w:ascii="Arial" w:hAnsi="Arial" w:cs="Arial"/>
          <w:sz w:val="22"/>
          <w:lang w:val="el-GR"/>
        </w:rPr>
        <w:t>του</w:t>
      </w:r>
      <w:r w:rsidR="00061E89" w:rsidRPr="00335C20">
        <w:rPr>
          <w:rFonts w:ascii="Arial" w:hAnsi="Arial" w:cs="Arial"/>
          <w:sz w:val="22"/>
          <w:lang w:val="el-GR"/>
        </w:rPr>
        <w:t xml:space="preserve"> </w:t>
      </w:r>
      <w:r w:rsidR="009526DC" w:rsidRPr="00335C20">
        <w:rPr>
          <w:rFonts w:ascii="Arial" w:hAnsi="Arial" w:cs="Arial"/>
          <w:sz w:val="22"/>
          <w:lang w:val="el-GR"/>
        </w:rPr>
        <w:t>3</w:t>
      </w:r>
      <w:r w:rsidR="009526DC" w:rsidRPr="001D708C">
        <w:rPr>
          <w:rFonts w:ascii="Arial" w:hAnsi="Arial" w:cs="Arial"/>
          <w:sz w:val="22"/>
          <w:vertAlign w:val="superscript"/>
          <w:lang w:val="el-GR"/>
        </w:rPr>
        <w:t>ο</w:t>
      </w:r>
      <w:r w:rsidR="00061E89">
        <w:rPr>
          <w:rFonts w:ascii="Arial" w:hAnsi="Arial" w:cs="Arial"/>
          <w:sz w:val="22"/>
          <w:vertAlign w:val="superscript"/>
          <w:lang w:val="el-GR"/>
        </w:rPr>
        <w:t>υ</w:t>
      </w:r>
      <w:r w:rsidR="009526DC" w:rsidRPr="00335C20">
        <w:rPr>
          <w:rFonts w:ascii="Arial" w:hAnsi="Arial" w:cs="Arial"/>
          <w:sz w:val="22"/>
          <w:lang w:val="el-GR"/>
        </w:rPr>
        <w:t xml:space="preserve"> </w:t>
      </w:r>
      <w:r w:rsidR="00061E89">
        <w:rPr>
          <w:rFonts w:ascii="Arial" w:hAnsi="Arial" w:cs="Arial"/>
          <w:sz w:val="22"/>
          <w:lang w:val="el-GR"/>
        </w:rPr>
        <w:t>τριμήνου</w:t>
      </w:r>
      <w:r w:rsidR="00061E89" w:rsidRPr="00335C20">
        <w:rPr>
          <w:rFonts w:ascii="Arial" w:hAnsi="Arial" w:cs="Arial"/>
          <w:sz w:val="22"/>
          <w:lang w:val="el-GR"/>
        </w:rPr>
        <w:t xml:space="preserve"> </w:t>
      </w:r>
      <w:r w:rsidR="009526DC" w:rsidRPr="00335C20">
        <w:rPr>
          <w:rFonts w:ascii="Arial" w:hAnsi="Arial" w:cs="Arial"/>
          <w:sz w:val="22"/>
          <w:lang w:val="el-GR"/>
        </w:rPr>
        <w:t xml:space="preserve">του 2023 </w:t>
      </w:r>
      <w:r w:rsidR="00061E89">
        <w:rPr>
          <w:rFonts w:ascii="Arial" w:hAnsi="Arial" w:cs="Arial"/>
          <w:sz w:val="22"/>
          <w:lang w:val="el-GR"/>
        </w:rPr>
        <w:t>πέρασαν στο</w:t>
      </w:r>
      <w:r w:rsidR="009526DC" w:rsidRPr="00335C20">
        <w:rPr>
          <w:rFonts w:ascii="Arial" w:hAnsi="Arial" w:cs="Arial"/>
          <w:sz w:val="22"/>
          <w:lang w:val="el-GR"/>
        </w:rPr>
        <w:t xml:space="preserve"> τέταρτο τρίμηνο, ως αποτέλεσμα της εκλογικής περιόδου στην Ελλάδα</w:t>
      </w:r>
      <w:r w:rsidR="00C36045">
        <w:rPr>
          <w:rFonts w:ascii="Arial" w:hAnsi="Arial" w:cs="Arial"/>
          <w:sz w:val="22"/>
          <w:lang w:val="el-GR"/>
        </w:rPr>
        <w:t xml:space="preserve">. </w:t>
      </w:r>
      <w:r w:rsidR="009E1B9B" w:rsidRPr="00335C20">
        <w:rPr>
          <w:rFonts w:ascii="Arial" w:hAnsi="Arial" w:cs="Arial"/>
          <w:sz w:val="22"/>
          <w:lang w:val="el-GR"/>
        </w:rPr>
        <w:t xml:space="preserve">Ο </w:t>
      </w:r>
      <w:r w:rsidR="00FF5257" w:rsidRPr="00335C20">
        <w:rPr>
          <w:rFonts w:ascii="Arial" w:hAnsi="Arial" w:cs="Arial"/>
          <w:sz w:val="22"/>
          <w:lang w:val="el-GR"/>
        </w:rPr>
        <w:t xml:space="preserve">ΟΤΕ </w:t>
      </w:r>
      <w:r w:rsidR="009E526F" w:rsidRPr="00335C20">
        <w:rPr>
          <w:rFonts w:ascii="Arial" w:hAnsi="Arial" w:cs="Arial"/>
          <w:sz w:val="22"/>
          <w:lang w:val="el-GR"/>
        </w:rPr>
        <w:t>λειτουργεί ως ένας από τους κύριους Systems</w:t>
      </w:r>
      <w:r w:rsidR="009E526F" w:rsidRPr="00C74D59">
        <w:rPr>
          <w:rFonts w:ascii="Arial" w:hAnsi="Arial" w:cs="Arial"/>
          <w:sz w:val="22"/>
          <w:lang w:val="el-GR"/>
        </w:rPr>
        <w:t xml:space="preserve"> Integrators για τις επιχειρήσεις και τον δημόσιο τομέα</w:t>
      </w:r>
      <w:r w:rsidR="00FF5257" w:rsidRPr="00C74D59">
        <w:rPr>
          <w:rFonts w:ascii="Arial" w:hAnsi="Arial" w:cs="Arial"/>
          <w:sz w:val="22"/>
          <w:lang w:val="el-GR"/>
        </w:rPr>
        <w:t>,</w:t>
      </w:r>
      <w:r w:rsidR="009E526F" w:rsidRPr="00C74D59">
        <w:rPr>
          <w:rFonts w:ascii="Arial" w:hAnsi="Arial" w:cs="Arial"/>
          <w:sz w:val="22"/>
          <w:lang w:val="el-GR"/>
        </w:rPr>
        <w:t xml:space="preserve"> υποστηρίζοντας την ψηφι</w:t>
      </w:r>
      <w:r w:rsidR="005F6074" w:rsidRPr="00C74D59">
        <w:rPr>
          <w:rFonts w:ascii="Arial" w:hAnsi="Arial" w:cs="Arial"/>
          <w:sz w:val="22"/>
          <w:lang w:val="el-GR"/>
        </w:rPr>
        <w:t>ακο</w:t>
      </w:r>
      <w:r w:rsidR="009E526F" w:rsidRPr="00C74D59">
        <w:rPr>
          <w:rFonts w:ascii="Arial" w:hAnsi="Arial" w:cs="Arial"/>
          <w:sz w:val="22"/>
          <w:lang w:val="el-GR"/>
        </w:rPr>
        <w:t>πο</w:t>
      </w:r>
      <w:r w:rsidR="005F6074" w:rsidRPr="00C74D59">
        <w:rPr>
          <w:rFonts w:ascii="Arial" w:hAnsi="Arial" w:cs="Arial"/>
          <w:sz w:val="22"/>
          <w:lang w:val="el-GR"/>
        </w:rPr>
        <w:t>ίη</w:t>
      </w:r>
      <w:r w:rsidR="009E526F" w:rsidRPr="00C74D59">
        <w:rPr>
          <w:rFonts w:ascii="Arial" w:hAnsi="Arial" w:cs="Arial"/>
          <w:sz w:val="22"/>
          <w:lang w:val="el-GR"/>
        </w:rPr>
        <w:t>ση</w:t>
      </w:r>
      <w:r w:rsidR="002E0479" w:rsidRPr="00C74D59">
        <w:rPr>
          <w:rFonts w:ascii="Arial" w:hAnsi="Arial" w:cs="Arial"/>
          <w:sz w:val="22"/>
          <w:lang w:val="el-GR"/>
        </w:rPr>
        <w:t>,</w:t>
      </w:r>
      <w:r w:rsidR="00457554" w:rsidRPr="00C74D59">
        <w:rPr>
          <w:rFonts w:ascii="Arial" w:hAnsi="Arial" w:cs="Arial"/>
          <w:sz w:val="22"/>
          <w:lang w:val="el-GR"/>
        </w:rPr>
        <w:t xml:space="preserve"> </w:t>
      </w:r>
      <w:r w:rsidR="009E526F" w:rsidRPr="00C74D59">
        <w:rPr>
          <w:rFonts w:ascii="Arial" w:hAnsi="Arial" w:cs="Arial"/>
          <w:sz w:val="22"/>
          <w:lang w:val="el-GR"/>
        </w:rPr>
        <w:t>παρέχοντας προηγμένες</w:t>
      </w:r>
      <w:r w:rsidRPr="00C74D59">
        <w:rPr>
          <w:rFonts w:ascii="Arial" w:hAnsi="Arial" w:cs="Arial"/>
          <w:sz w:val="22"/>
          <w:lang w:val="el-GR"/>
        </w:rPr>
        <w:t xml:space="preserve"> δικτυακές υποδομές</w:t>
      </w:r>
      <w:r w:rsidR="009E526F" w:rsidRPr="00C74D59">
        <w:rPr>
          <w:rFonts w:ascii="Arial" w:hAnsi="Arial" w:cs="Arial"/>
          <w:sz w:val="22"/>
          <w:lang w:val="el-GR"/>
        </w:rPr>
        <w:t>,</w:t>
      </w:r>
      <w:r w:rsidRPr="00C74D59">
        <w:rPr>
          <w:rFonts w:ascii="Arial" w:hAnsi="Arial" w:cs="Arial"/>
          <w:sz w:val="22"/>
          <w:lang w:val="el-GR"/>
        </w:rPr>
        <w:t xml:space="preserve"> καινοτόμες, εξατομικευμένες λύσεις IT και cloud. </w:t>
      </w:r>
      <w:r w:rsidR="00E57AAC" w:rsidRPr="00C74D59">
        <w:rPr>
          <w:rFonts w:ascii="Arial" w:hAnsi="Arial" w:cs="Arial"/>
          <w:sz w:val="22"/>
          <w:lang w:val="el-GR"/>
        </w:rPr>
        <w:t>Πρόσφατ</w:t>
      </w:r>
      <w:r w:rsidR="00A655B6" w:rsidRPr="00C74D59">
        <w:rPr>
          <w:rFonts w:ascii="Arial" w:hAnsi="Arial" w:cs="Arial"/>
          <w:sz w:val="22"/>
          <w:lang w:val="el-GR"/>
        </w:rPr>
        <w:t>ες</w:t>
      </w:r>
      <w:r w:rsidR="00E57AAC" w:rsidRPr="00C74D59">
        <w:rPr>
          <w:rFonts w:ascii="Arial" w:hAnsi="Arial" w:cs="Arial"/>
          <w:sz w:val="22"/>
          <w:lang w:val="el-GR"/>
        </w:rPr>
        <w:t xml:space="preserve"> </w:t>
      </w:r>
      <w:r w:rsidR="00A655B6" w:rsidRPr="00C74D59">
        <w:rPr>
          <w:rFonts w:ascii="Arial" w:hAnsi="Arial" w:cs="Arial"/>
          <w:sz w:val="22"/>
          <w:lang w:val="el-GR"/>
        </w:rPr>
        <w:t>συμφωνίες</w:t>
      </w:r>
      <w:r w:rsidR="00E57AAC" w:rsidRPr="00C74D59">
        <w:rPr>
          <w:rFonts w:ascii="Arial" w:hAnsi="Arial" w:cs="Arial"/>
          <w:sz w:val="22"/>
          <w:lang w:val="el-GR"/>
        </w:rPr>
        <w:t xml:space="preserve"> περιλαμβάνουν</w:t>
      </w:r>
      <w:r w:rsidR="000A4C67" w:rsidRPr="00C74D59">
        <w:rPr>
          <w:rFonts w:ascii="Arial" w:hAnsi="Arial" w:cs="Arial"/>
          <w:sz w:val="22"/>
          <w:lang w:val="el-GR"/>
        </w:rPr>
        <w:t xml:space="preserve"> τη σύμβαση-πλαίσιο με την Υπηρεσία Επικοινωνιών και Πληροφοριών του ΝΑΤΟ (NCIA) για τη δημιουργία σύγχρονων τεχνολογικών υποδομών και την παροχή συμβουλευτικών υπηρεσιών</w:t>
      </w:r>
      <w:r w:rsidR="004D60F6" w:rsidRPr="00C74D59">
        <w:rPr>
          <w:rFonts w:ascii="Arial" w:hAnsi="Arial" w:cs="Arial"/>
          <w:sz w:val="22"/>
          <w:lang w:val="el-GR"/>
        </w:rPr>
        <w:t xml:space="preserve">. </w:t>
      </w:r>
      <w:r w:rsidR="00E57AAC" w:rsidRPr="00C74D59">
        <w:rPr>
          <w:rFonts w:ascii="Arial" w:hAnsi="Arial" w:cs="Arial"/>
          <w:sz w:val="22"/>
          <w:lang w:val="el-GR"/>
        </w:rPr>
        <w:t xml:space="preserve">Στον ΟΤΕ έχουν επίσης ανατεθεί αρκετές συμβάσεις στον ιδιωτικό τομέα, συμπεριλαμβανομένης της παροχής υπηρεσιών </w:t>
      </w:r>
      <w:r w:rsidR="004D60F6" w:rsidRPr="00C74D59">
        <w:rPr>
          <w:rFonts w:ascii="Arial" w:hAnsi="Arial" w:cs="Arial"/>
          <w:sz w:val="22"/>
          <w:lang w:val="el-GR"/>
        </w:rPr>
        <w:t xml:space="preserve">διαχείρισης </w:t>
      </w:r>
      <w:r w:rsidR="00E57AAC" w:rsidRPr="00C74D59">
        <w:rPr>
          <w:rFonts w:ascii="Arial" w:hAnsi="Arial" w:cs="Arial"/>
          <w:sz w:val="22"/>
          <w:lang w:val="el-GR"/>
        </w:rPr>
        <w:t>δικτύου, συστημάτων ERP, υποδομών οπτικών ινών κ.λπ.</w:t>
      </w:r>
      <w:r w:rsidR="007D7BA5" w:rsidRPr="00C74D59">
        <w:rPr>
          <w:rFonts w:ascii="Arial" w:hAnsi="Arial" w:cs="Arial"/>
          <w:sz w:val="22"/>
          <w:lang w:val="el-GR"/>
        </w:rPr>
        <w:t xml:space="preserve"> </w:t>
      </w:r>
    </w:p>
    <w:p w14:paraId="27339125" w14:textId="075DBDEE" w:rsidR="00881ECC" w:rsidRDefault="00A31E8E" w:rsidP="00395CCE">
      <w:pPr>
        <w:pStyle w:val="ListParagraph"/>
        <w:numPr>
          <w:ilvl w:val="0"/>
          <w:numId w:val="48"/>
        </w:numPr>
        <w:spacing w:before="120" w:after="160" w:line="280" w:lineRule="exact"/>
        <w:ind w:left="284" w:hanging="284"/>
        <w:contextualSpacing w:val="0"/>
        <w:jc w:val="both"/>
        <w:rPr>
          <w:rFonts w:ascii="Arial" w:hAnsi="Arial" w:cs="Arial"/>
          <w:sz w:val="22"/>
          <w:szCs w:val="22"/>
          <w:lang w:val="el-GR"/>
        </w:rPr>
      </w:pPr>
      <w:r w:rsidRPr="00A31E8E">
        <w:rPr>
          <w:rFonts w:ascii="Arial" w:hAnsi="Arial" w:cs="Arial"/>
          <w:b/>
          <w:bCs/>
          <w:color w:val="000000" w:themeColor="text1"/>
          <w:sz w:val="22"/>
          <w:szCs w:val="22"/>
          <w:lang w:val="el-GR"/>
        </w:rPr>
        <w:t>Το</w:t>
      </w:r>
      <w:r w:rsidRPr="00A31E8E" w:rsidDel="0012664C">
        <w:rPr>
          <w:rFonts w:ascii="Arial" w:hAnsi="Arial" w:cs="Arial"/>
          <w:b/>
          <w:bCs/>
          <w:color w:val="000000" w:themeColor="text1"/>
          <w:sz w:val="22"/>
          <w:szCs w:val="22"/>
          <w:lang w:val="el-GR"/>
        </w:rPr>
        <w:t xml:space="preserve"> </w:t>
      </w:r>
      <w:r w:rsidRPr="00A31E8E">
        <w:rPr>
          <w:rFonts w:ascii="Arial" w:hAnsi="Arial" w:cs="Arial"/>
          <w:b/>
          <w:bCs/>
          <w:color w:val="000000" w:themeColor="text1"/>
          <w:sz w:val="22"/>
          <w:szCs w:val="22"/>
          <w:lang w:val="el-GR"/>
        </w:rPr>
        <w:t xml:space="preserve">προσαρμοσμένο </w:t>
      </w:r>
      <w:r w:rsidRPr="00A31E8E">
        <w:rPr>
          <w:rFonts w:ascii="Arial" w:hAnsi="Arial" w:cs="Arial"/>
          <w:b/>
          <w:bCs/>
          <w:color w:val="000000" w:themeColor="text1"/>
          <w:sz w:val="22"/>
          <w:szCs w:val="22"/>
        </w:rPr>
        <w:t>EBITDA</w:t>
      </w:r>
      <w:r w:rsidRPr="00A31E8E" w:rsidDel="00184804">
        <w:rPr>
          <w:rFonts w:ascii="Arial" w:hAnsi="Arial" w:cs="Arial"/>
          <w:b/>
          <w:bCs/>
          <w:color w:val="000000" w:themeColor="text1"/>
          <w:sz w:val="22"/>
          <w:szCs w:val="22"/>
          <w:lang w:val="el-GR"/>
        </w:rPr>
        <w:t xml:space="preserve"> </w:t>
      </w:r>
      <w:r w:rsidRPr="00A31E8E">
        <w:rPr>
          <w:rFonts w:ascii="Arial" w:hAnsi="Arial" w:cs="Arial"/>
          <w:b/>
          <w:bCs/>
          <w:color w:val="000000" w:themeColor="text1"/>
          <w:sz w:val="22"/>
          <w:szCs w:val="22"/>
          <w:lang w:val="el-GR"/>
        </w:rPr>
        <w:t>(</w:t>
      </w:r>
      <w:r w:rsidRPr="00A31E8E">
        <w:rPr>
          <w:rFonts w:ascii="Arial" w:hAnsi="Arial" w:cs="Arial"/>
          <w:b/>
          <w:bCs/>
          <w:color w:val="000000" w:themeColor="text1"/>
          <w:sz w:val="22"/>
          <w:szCs w:val="22"/>
        </w:rPr>
        <w:t>AL</w:t>
      </w:r>
      <w:r w:rsidRPr="00A31E8E">
        <w:rPr>
          <w:rFonts w:ascii="Arial" w:hAnsi="Arial" w:cs="Arial"/>
          <w:b/>
          <w:bCs/>
          <w:color w:val="000000" w:themeColor="text1"/>
          <w:sz w:val="22"/>
          <w:szCs w:val="22"/>
          <w:lang w:val="el-GR"/>
        </w:rPr>
        <w:t>)</w:t>
      </w:r>
      <w:r w:rsidR="00F53234">
        <w:rPr>
          <w:rFonts w:ascii="Arial" w:hAnsi="Arial" w:cs="Arial"/>
          <w:b/>
          <w:color w:val="000000" w:themeColor="text1"/>
          <w:sz w:val="22"/>
          <w:szCs w:val="22"/>
          <w:lang w:val="el-GR"/>
        </w:rPr>
        <w:t xml:space="preserve"> </w:t>
      </w:r>
      <w:r w:rsidR="00F53234" w:rsidRPr="00A31E8E">
        <w:rPr>
          <w:rFonts w:ascii="Arial" w:hAnsi="Arial" w:cs="Arial"/>
          <w:sz w:val="22"/>
          <w:szCs w:val="22"/>
          <w:lang w:val="el-GR"/>
        </w:rPr>
        <w:t xml:space="preserve">στην </w:t>
      </w:r>
      <w:r w:rsidR="00027850" w:rsidRPr="00A31E8E">
        <w:rPr>
          <w:rFonts w:ascii="Arial" w:hAnsi="Arial" w:cs="Arial"/>
          <w:sz w:val="22"/>
          <w:szCs w:val="22"/>
          <w:lang w:val="el-GR"/>
        </w:rPr>
        <w:t>Ελλάδα</w:t>
      </w:r>
      <w:r w:rsidR="00F53234" w:rsidRPr="00A31E8E">
        <w:rPr>
          <w:rFonts w:ascii="Arial" w:hAnsi="Arial" w:cs="Arial"/>
          <w:sz w:val="22"/>
          <w:szCs w:val="22"/>
          <w:lang w:val="el-GR"/>
        </w:rPr>
        <w:t xml:space="preserve"> </w:t>
      </w:r>
      <w:r w:rsidR="00193AFC" w:rsidRPr="00A31E8E">
        <w:rPr>
          <w:rFonts w:ascii="Arial" w:hAnsi="Arial" w:cs="Arial"/>
          <w:sz w:val="22"/>
          <w:szCs w:val="22"/>
          <w:lang w:val="el-GR"/>
        </w:rPr>
        <w:t xml:space="preserve">αυξήθηκε </w:t>
      </w:r>
      <w:r w:rsidR="007178FE" w:rsidRPr="00A31E8E">
        <w:rPr>
          <w:rFonts w:ascii="Arial" w:hAnsi="Arial" w:cs="Arial"/>
          <w:sz w:val="22"/>
          <w:szCs w:val="22"/>
          <w:lang w:val="el-GR"/>
        </w:rPr>
        <w:t>κατά 1,</w:t>
      </w:r>
      <w:r w:rsidR="00487E9D" w:rsidRPr="00A31E8E">
        <w:rPr>
          <w:rFonts w:ascii="Arial" w:hAnsi="Arial" w:cs="Arial"/>
          <w:sz w:val="22"/>
          <w:szCs w:val="22"/>
          <w:lang w:val="el-GR"/>
        </w:rPr>
        <w:t>8</w:t>
      </w:r>
      <w:r w:rsidR="007178FE" w:rsidRPr="00A31E8E">
        <w:rPr>
          <w:rFonts w:ascii="Arial" w:hAnsi="Arial" w:cs="Arial"/>
          <w:sz w:val="22"/>
          <w:szCs w:val="22"/>
          <w:lang w:val="el-GR"/>
        </w:rPr>
        <w:t>% στο τρίμηνο, στα €</w:t>
      </w:r>
      <w:r w:rsidR="00B66E41" w:rsidRPr="00A31E8E">
        <w:rPr>
          <w:rFonts w:ascii="Arial" w:hAnsi="Arial" w:cs="Arial"/>
          <w:sz w:val="22"/>
          <w:szCs w:val="22"/>
          <w:lang w:val="el-GR"/>
        </w:rPr>
        <w:t>3</w:t>
      </w:r>
      <w:r w:rsidR="00487E9D" w:rsidRPr="00A31E8E">
        <w:rPr>
          <w:rFonts w:ascii="Arial" w:hAnsi="Arial" w:cs="Arial"/>
          <w:sz w:val="22"/>
          <w:szCs w:val="22"/>
          <w:lang w:val="el-GR"/>
        </w:rPr>
        <w:t>4</w:t>
      </w:r>
      <w:r w:rsidR="00093AA6" w:rsidRPr="00A31E8E">
        <w:rPr>
          <w:rFonts w:ascii="Arial" w:hAnsi="Arial" w:cs="Arial"/>
          <w:sz w:val="22"/>
          <w:szCs w:val="22"/>
          <w:lang w:val="el-GR"/>
        </w:rPr>
        <w:t>3,1</w:t>
      </w:r>
      <w:r w:rsidR="007178FE" w:rsidRPr="00A31E8E">
        <w:rPr>
          <w:rFonts w:ascii="Arial" w:hAnsi="Arial" w:cs="Arial"/>
          <w:sz w:val="22"/>
          <w:szCs w:val="22"/>
          <w:lang w:val="el-GR"/>
        </w:rPr>
        <w:t xml:space="preserve"> εκατ.</w:t>
      </w:r>
      <w:r w:rsidR="003A3EE8" w:rsidRPr="00A31E8E">
        <w:rPr>
          <w:rFonts w:ascii="Arial" w:hAnsi="Arial" w:cs="Arial"/>
          <w:sz w:val="22"/>
          <w:szCs w:val="22"/>
          <w:lang w:val="el-GR"/>
        </w:rPr>
        <w:t xml:space="preserve"> </w:t>
      </w:r>
      <w:r w:rsidR="00A04B22" w:rsidRPr="00A31E8E">
        <w:rPr>
          <w:rFonts w:ascii="Arial" w:hAnsi="Arial" w:cs="Arial"/>
          <w:sz w:val="22"/>
          <w:szCs w:val="22"/>
          <w:lang w:val="el-GR"/>
        </w:rPr>
        <w:t xml:space="preserve">καταγράφοντας επιτάχυνση </w:t>
      </w:r>
      <w:r w:rsidR="00777227" w:rsidRPr="00A31E8E">
        <w:rPr>
          <w:rFonts w:ascii="Arial" w:hAnsi="Arial" w:cs="Arial"/>
          <w:sz w:val="22"/>
          <w:szCs w:val="22"/>
          <w:lang w:val="el-GR"/>
        </w:rPr>
        <w:t xml:space="preserve">του ρυθμού ανάπτυξης </w:t>
      </w:r>
      <w:r w:rsidR="00A04B22" w:rsidRPr="00A31E8E">
        <w:rPr>
          <w:rFonts w:ascii="Arial" w:hAnsi="Arial" w:cs="Arial"/>
          <w:sz w:val="22"/>
          <w:szCs w:val="22"/>
          <w:lang w:val="el-GR"/>
        </w:rPr>
        <w:t>σε σύγκριση με τις τάσεις που καταγράφηκαν στα προηγούμενα τρίμηνα, ενώ το περιθώριο ανήλθε στο 40,7</w:t>
      </w:r>
      <w:r w:rsidR="00D12C28" w:rsidRPr="00A31E8E">
        <w:rPr>
          <w:rFonts w:ascii="Arial" w:hAnsi="Arial" w:cs="Arial"/>
          <w:sz w:val="22"/>
          <w:szCs w:val="22"/>
          <w:lang w:val="el-GR"/>
        </w:rPr>
        <w:t>%</w:t>
      </w:r>
      <w:r w:rsidR="00777227" w:rsidRPr="00A31E8E">
        <w:rPr>
          <w:rFonts w:ascii="Arial" w:hAnsi="Arial" w:cs="Arial"/>
          <w:sz w:val="22"/>
          <w:szCs w:val="22"/>
          <w:lang w:val="el-GR"/>
        </w:rPr>
        <w:t>.</w:t>
      </w:r>
      <w:r w:rsidR="0060776D" w:rsidRPr="00A31E8E">
        <w:rPr>
          <w:rFonts w:ascii="Arial" w:hAnsi="Arial" w:cs="Arial"/>
          <w:sz w:val="22"/>
          <w:szCs w:val="22"/>
          <w:lang w:val="el-GR"/>
        </w:rPr>
        <w:t xml:space="preserve"> Η </w:t>
      </w:r>
      <w:r w:rsidR="007C67FD" w:rsidRPr="00A31E8E">
        <w:rPr>
          <w:rFonts w:ascii="Arial" w:hAnsi="Arial" w:cs="Arial"/>
          <w:sz w:val="22"/>
          <w:szCs w:val="22"/>
          <w:lang w:val="el-GR"/>
        </w:rPr>
        <w:t>συνεχιζόμενη</w:t>
      </w:r>
      <w:r w:rsidR="0060776D" w:rsidRPr="00A31E8E">
        <w:rPr>
          <w:rFonts w:ascii="Arial" w:hAnsi="Arial" w:cs="Arial"/>
          <w:sz w:val="22"/>
          <w:szCs w:val="22"/>
          <w:lang w:val="el-GR"/>
        </w:rPr>
        <w:t xml:space="preserve"> αύξηση των εσόδων </w:t>
      </w:r>
      <w:r w:rsidR="00D81265" w:rsidRPr="00A31E8E">
        <w:rPr>
          <w:rFonts w:ascii="Arial" w:hAnsi="Arial" w:cs="Arial"/>
          <w:sz w:val="22"/>
          <w:szCs w:val="22"/>
          <w:lang w:val="el-GR"/>
        </w:rPr>
        <w:t xml:space="preserve">από υπηρεσίες </w:t>
      </w:r>
      <w:r w:rsidR="0060776D" w:rsidRPr="00A31E8E">
        <w:rPr>
          <w:rFonts w:ascii="Arial" w:hAnsi="Arial" w:cs="Arial"/>
          <w:sz w:val="22"/>
          <w:szCs w:val="22"/>
          <w:lang w:val="el-GR"/>
        </w:rPr>
        <w:t xml:space="preserve">κινητής σε συνδυασμό με </w:t>
      </w:r>
      <w:r w:rsidR="00AE329F">
        <w:rPr>
          <w:rFonts w:ascii="Arial" w:hAnsi="Arial" w:cs="Arial"/>
          <w:sz w:val="22"/>
          <w:szCs w:val="22"/>
          <w:lang w:val="el-GR"/>
        </w:rPr>
        <w:t>χαμηλότερα κόστη,</w:t>
      </w:r>
      <w:r w:rsidR="0060776D" w:rsidRPr="00A31E8E">
        <w:rPr>
          <w:rFonts w:ascii="Arial" w:hAnsi="Arial" w:cs="Arial"/>
          <w:sz w:val="22"/>
          <w:szCs w:val="22"/>
          <w:lang w:val="el-GR"/>
        </w:rPr>
        <w:t xml:space="preserve"> </w:t>
      </w:r>
      <w:r w:rsidR="00777227" w:rsidRPr="00A31E8E">
        <w:rPr>
          <w:rFonts w:ascii="Arial" w:hAnsi="Arial" w:cs="Arial"/>
          <w:sz w:val="22"/>
          <w:szCs w:val="22"/>
          <w:lang w:val="el-GR"/>
        </w:rPr>
        <w:t xml:space="preserve">κυρίως στο </w:t>
      </w:r>
      <w:r w:rsidR="00636622" w:rsidRPr="00A31E8E">
        <w:rPr>
          <w:rFonts w:ascii="Arial" w:hAnsi="Arial" w:cs="Arial"/>
          <w:sz w:val="22"/>
          <w:szCs w:val="22"/>
          <w:lang w:val="el-GR"/>
        </w:rPr>
        <w:t>κομμάτι</w:t>
      </w:r>
      <w:r w:rsidR="00777227" w:rsidRPr="00A31E8E">
        <w:rPr>
          <w:rFonts w:ascii="Arial" w:hAnsi="Arial" w:cs="Arial"/>
          <w:sz w:val="22"/>
          <w:szCs w:val="22"/>
          <w:lang w:val="el-GR"/>
        </w:rPr>
        <w:t xml:space="preserve"> προσωπικού και συντήρησης</w:t>
      </w:r>
      <w:r w:rsidR="00061E89">
        <w:rPr>
          <w:rFonts w:ascii="Arial" w:hAnsi="Arial" w:cs="Arial"/>
          <w:sz w:val="22"/>
          <w:szCs w:val="22"/>
          <w:lang w:val="el-GR"/>
        </w:rPr>
        <w:t>,</w:t>
      </w:r>
      <w:r w:rsidR="0060776D" w:rsidRPr="00A31E8E">
        <w:rPr>
          <w:rFonts w:ascii="Arial" w:hAnsi="Arial" w:cs="Arial"/>
          <w:sz w:val="22"/>
          <w:szCs w:val="22"/>
          <w:lang w:val="el-GR"/>
        </w:rPr>
        <w:t xml:space="preserve"> αντιστάθμισαν </w:t>
      </w:r>
      <w:r w:rsidR="00AA40D4" w:rsidRPr="00A31E8E">
        <w:rPr>
          <w:rFonts w:ascii="Arial" w:hAnsi="Arial" w:cs="Arial"/>
          <w:sz w:val="22"/>
          <w:szCs w:val="22"/>
          <w:lang w:val="el-GR"/>
        </w:rPr>
        <w:t xml:space="preserve">την πίεση </w:t>
      </w:r>
      <w:r w:rsidR="00F369B4">
        <w:rPr>
          <w:rFonts w:ascii="Arial" w:hAnsi="Arial" w:cs="Arial"/>
          <w:sz w:val="22"/>
          <w:szCs w:val="22"/>
          <w:lang w:val="el-GR"/>
        </w:rPr>
        <w:t xml:space="preserve">σε κάποιες γραμμές εσόδων </w:t>
      </w:r>
      <w:r w:rsidR="00AE329F">
        <w:rPr>
          <w:rFonts w:ascii="Arial" w:hAnsi="Arial" w:cs="Arial"/>
          <w:sz w:val="22"/>
          <w:szCs w:val="22"/>
          <w:lang w:val="el-GR"/>
        </w:rPr>
        <w:t xml:space="preserve">καθώς </w:t>
      </w:r>
      <w:r w:rsidR="0060776D" w:rsidRPr="00A31E8E">
        <w:rPr>
          <w:rFonts w:ascii="Arial" w:hAnsi="Arial" w:cs="Arial"/>
          <w:sz w:val="22"/>
          <w:szCs w:val="22"/>
          <w:lang w:val="el-GR"/>
        </w:rPr>
        <w:t xml:space="preserve">και το υψηλότερο κόστος </w:t>
      </w:r>
      <w:r w:rsidR="00AA40D4" w:rsidRPr="00A31E8E">
        <w:rPr>
          <w:rFonts w:ascii="Arial" w:hAnsi="Arial" w:cs="Arial"/>
          <w:sz w:val="22"/>
          <w:szCs w:val="22"/>
          <w:lang w:val="el-GR"/>
        </w:rPr>
        <w:t>ενέργειας</w:t>
      </w:r>
      <w:r w:rsidR="0060776D">
        <w:rPr>
          <w:rFonts w:ascii="Arial" w:hAnsi="Arial" w:cs="Arial"/>
          <w:sz w:val="22"/>
          <w:szCs w:val="22"/>
          <w:lang w:val="el-GR"/>
        </w:rPr>
        <w:t xml:space="preserve"> </w:t>
      </w:r>
      <w:r w:rsidR="00AE329F">
        <w:rPr>
          <w:rFonts w:ascii="Arial" w:hAnsi="Arial" w:cs="Arial"/>
          <w:sz w:val="22"/>
          <w:szCs w:val="22"/>
          <w:lang w:val="el-GR"/>
        </w:rPr>
        <w:t>κατά</w:t>
      </w:r>
      <w:r w:rsidR="0060776D" w:rsidRPr="00A31E8E">
        <w:rPr>
          <w:rFonts w:ascii="Arial" w:hAnsi="Arial" w:cs="Arial"/>
          <w:sz w:val="22"/>
          <w:szCs w:val="22"/>
          <w:lang w:val="el-GR"/>
        </w:rPr>
        <w:t xml:space="preserve"> περίπου €</w:t>
      </w:r>
      <w:r w:rsidR="00AA40D4" w:rsidRPr="00A31E8E">
        <w:rPr>
          <w:rFonts w:ascii="Arial" w:hAnsi="Arial" w:cs="Arial"/>
          <w:sz w:val="22"/>
          <w:szCs w:val="22"/>
          <w:lang w:val="el-GR"/>
        </w:rPr>
        <w:t>7</w:t>
      </w:r>
      <w:r w:rsidR="0060776D" w:rsidRPr="00A31E8E">
        <w:rPr>
          <w:rFonts w:ascii="Arial" w:hAnsi="Arial" w:cs="Arial"/>
          <w:sz w:val="22"/>
          <w:szCs w:val="22"/>
          <w:lang w:val="el-GR"/>
        </w:rPr>
        <w:t xml:space="preserve"> εκατ.</w:t>
      </w:r>
    </w:p>
    <w:p w14:paraId="5AE36F62" w14:textId="77777777" w:rsidR="00881ECC" w:rsidRPr="001D7A36" w:rsidRDefault="00881ECC" w:rsidP="00A31E8E">
      <w:pPr>
        <w:spacing w:before="120" w:line="280" w:lineRule="exact"/>
        <w:jc w:val="both"/>
        <w:rPr>
          <w:rFonts w:ascii="Arial" w:hAnsi="Arial" w:cs="Arial"/>
        </w:rPr>
      </w:pPr>
    </w:p>
    <w:p w14:paraId="2F5EC31C" w14:textId="464034B8" w:rsidR="00EB5E62" w:rsidRPr="00051E74" w:rsidRDefault="00EB5E62" w:rsidP="00EB5E6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ΡΟΥΜΑΝΙΑ</w:t>
      </w:r>
    </w:p>
    <w:p w14:paraId="616FCF01" w14:textId="77777777" w:rsidR="00EB5E62" w:rsidRPr="00806D3A" w:rsidRDefault="00EB5E62" w:rsidP="00EB5E62">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7" behindDoc="0" locked="0" layoutInCell="1" allowOverlap="1" wp14:anchorId="19653E4B" wp14:editId="5C13906C">
                <wp:simplePos x="0" y="0"/>
                <wp:positionH relativeFrom="column">
                  <wp:posOffset>2752</wp:posOffset>
                </wp:positionH>
                <wp:positionV relativeFrom="paragraph">
                  <wp:posOffset>11642</wp:posOffset>
                </wp:positionV>
                <wp:extent cx="664083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E029A" id="Straight Connector 12"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0A5E7E8D" w14:textId="59871C8A" w:rsidR="009E285A" w:rsidRPr="00D97C0D" w:rsidRDefault="009E285A" w:rsidP="00CD00E3">
      <w:pPr>
        <w:rPr>
          <w:rFonts w:ascii="Arial" w:hAnsi="Arial" w:cs="Arial"/>
          <w:color w:val="FF0000"/>
        </w:rPr>
      </w:pPr>
    </w:p>
    <w:tbl>
      <w:tblPr>
        <w:tblStyle w:val="TableGrid"/>
        <w:tblW w:w="1073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69"/>
        <w:gridCol w:w="1563"/>
        <w:gridCol w:w="1297"/>
        <w:gridCol w:w="1154"/>
        <w:gridCol w:w="1122"/>
        <w:gridCol w:w="1331"/>
      </w:tblGrid>
      <w:tr w:rsidR="000E74C4" w:rsidRPr="001745EE" w14:paraId="12B7FD5E" w14:textId="77777777" w:rsidTr="00E05DA4">
        <w:trPr>
          <w:trHeight w:val="479"/>
        </w:trPr>
        <w:tc>
          <w:tcPr>
            <w:tcW w:w="42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2C302E" w14:textId="43C4808C" w:rsidR="000E74C4" w:rsidRPr="00DB0DFE" w:rsidRDefault="000E74C4" w:rsidP="000E74C4">
            <w:pPr>
              <w:pStyle w:val="ColorfulList-Accent11"/>
              <w:tabs>
                <w:tab w:val="left" w:pos="0"/>
                <w:tab w:val="left" w:pos="284"/>
              </w:tabs>
              <w:ind w:left="0" w:right="-90"/>
              <w:rPr>
                <w:rFonts w:ascii="Arial" w:hAnsi="Arial" w:cs="Arial"/>
                <w:i/>
              </w:rPr>
            </w:pPr>
            <w:r>
              <w:rPr>
                <w:rFonts w:ascii="Arial" w:hAnsi="Arial" w:cs="Arial"/>
                <w:b/>
                <w:lang w:val="el-GR"/>
              </w:rPr>
              <w:t>Λειτουργικά στοιχεία</w:t>
            </w:r>
          </w:p>
        </w:tc>
        <w:tc>
          <w:tcPr>
            <w:tcW w:w="15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3411680" w14:textId="77777777" w:rsidR="000E74C4" w:rsidRPr="00DB0DFE" w:rsidRDefault="000E74C4" w:rsidP="000E74C4">
            <w:pPr>
              <w:pStyle w:val="ColorfulList-Accent11"/>
              <w:tabs>
                <w:tab w:val="left" w:pos="0"/>
                <w:tab w:val="left" w:pos="284"/>
              </w:tabs>
              <w:ind w:left="0" w:right="-90"/>
              <w:jc w:val="center"/>
              <w:rPr>
                <w:rFonts w:ascii="Arial" w:hAnsi="Arial" w:cs="Arial"/>
                <w:i/>
              </w:rPr>
            </w:pPr>
            <w:r w:rsidRPr="00DB0DFE">
              <w:rPr>
                <w:rFonts w:ascii="Arial" w:hAnsi="Arial" w:cs="Arial"/>
                <w:b/>
              </w:rPr>
              <w:t>Q4'24</w:t>
            </w:r>
          </w:p>
        </w:tc>
        <w:tc>
          <w:tcPr>
            <w:tcW w:w="129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308F269" w14:textId="77777777" w:rsidR="000E74C4" w:rsidRPr="00DB0DFE" w:rsidRDefault="000E74C4" w:rsidP="000E74C4">
            <w:pPr>
              <w:pStyle w:val="ColorfulList-Accent11"/>
              <w:tabs>
                <w:tab w:val="left" w:pos="0"/>
                <w:tab w:val="left" w:pos="284"/>
              </w:tabs>
              <w:ind w:left="0" w:right="-90"/>
              <w:jc w:val="center"/>
              <w:rPr>
                <w:rFonts w:ascii="Arial" w:hAnsi="Arial" w:cs="Arial"/>
                <w:i/>
              </w:rPr>
            </w:pPr>
            <w:r w:rsidRPr="00DB0DFE">
              <w:rPr>
                <w:rFonts w:ascii="Arial" w:hAnsi="Arial" w:cs="Arial"/>
                <w:b/>
              </w:rPr>
              <w:t>Q4'23</w:t>
            </w:r>
          </w:p>
        </w:tc>
        <w:tc>
          <w:tcPr>
            <w:tcW w:w="22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486BAE" w14:textId="77777777" w:rsidR="000E74C4" w:rsidRPr="00DB0DFE" w:rsidRDefault="000E74C4" w:rsidP="000E74C4">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3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7A57BB43" w14:textId="67A7C96D" w:rsidR="000E74C4" w:rsidRPr="00DB0DFE" w:rsidRDefault="000E74C4" w:rsidP="000E74C4">
            <w:pPr>
              <w:pStyle w:val="ColorfulList-Accent11"/>
              <w:tabs>
                <w:tab w:val="left" w:pos="0"/>
                <w:tab w:val="left" w:pos="284"/>
              </w:tabs>
              <w:ind w:left="0" w:right="-90"/>
              <w:jc w:val="center"/>
              <w:rPr>
                <w:rFonts w:ascii="Arial" w:hAnsi="Arial" w:cs="Arial"/>
                <w:i/>
              </w:rPr>
            </w:pPr>
            <w:r w:rsidRPr="00ED1AB6">
              <w:rPr>
                <w:rFonts w:ascii="Arial" w:hAnsi="Arial" w:cs="Arial"/>
                <w:b/>
              </w:rPr>
              <w:t>Q</w:t>
            </w:r>
            <w:r>
              <w:rPr>
                <w:rFonts w:ascii="Arial" w:hAnsi="Arial" w:cs="Arial"/>
                <w:b/>
                <w:lang w:val="el-GR"/>
              </w:rPr>
              <w:t>4</w:t>
            </w:r>
            <w:r w:rsidRPr="00ED1AB6">
              <w:rPr>
                <w:rFonts w:ascii="Arial" w:hAnsi="Arial" w:cs="Arial"/>
                <w:b/>
              </w:rPr>
              <w:t xml:space="preserve">’24 </w:t>
            </w:r>
            <w:r>
              <w:rPr>
                <w:rFonts w:ascii="Arial" w:hAnsi="Arial" w:cs="Arial"/>
                <w:b/>
                <w:lang w:val="el-GR"/>
              </w:rPr>
              <w:t>καθαρές προσθήκες</w:t>
            </w:r>
          </w:p>
        </w:tc>
      </w:tr>
      <w:tr w:rsidR="000E74C4" w:rsidRPr="001745EE" w14:paraId="1BD27E33" w14:textId="77777777" w:rsidTr="000E74C4">
        <w:trPr>
          <w:trHeight w:val="322"/>
        </w:trPr>
        <w:tc>
          <w:tcPr>
            <w:tcW w:w="4269" w:type="dxa"/>
            <w:tcBorders>
              <w:top w:val="nil"/>
              <w:bottom w:val="nil"/>
              <w:right w:val="single" w:sz="2" w:space="0" w:color="808080" w:themeColor="background1" w:themeShade="80"/>
            </w:tcBorders>
            <w:shd w:val="clear" w:color="auto" w:fill="FFFFFF" w:themeFill="background1"/>
            <w:vAlign w:val="center"/>
          </w:tcPr>
          <w:p w14:paraId="377FB4B9" w14:textId="70E719DA" w:rsidR="000E74C4" w:rsidRPr="004F331D" w:rsidRDefault="000E74C4" w:rsidP="000E74C4">
            <w:pPr>
              <w:pStyle w:val="ColorfulList-Accent11"/>
              <w:tabs>
                <w:tab w:val="left" w:pos="0"/>
                <w:tab w:val="left" w:pos="284"/>
              </w:tabs>
              <w:ind w:left="0" w:right="-90"/>
              <w:rPr>
                <w:rFonts w:ascii="Arial" w:hAnsi="Arial" w:cs="Arial"/>
                <w:b/>
                <w:i/>
              </w:rPr>
            </w:pPr>
            <w:r w:rsidRPr="004F331D">
              <w:rPr>
                <w:rFonts w:ascii="Arial" w:hAnsi="Arial" w:cs="Arial"/>
                <w:b/>
              </w:rPr>
              <w:t>Συνδρομητές κινητής</w:t>
            </w:r>
          </w:p>
        </w:tc>
        <w:tc>
          <w:tcPr>
            <w:tcW w:w="1563" w:type="dxa"/>
            <w:tcBorders>
              <w:top w:val="nil"/>
              <w:left w:val="single" w:sz="2" w:space="0" w:color="808080" w:themeColor="background1" w:themeShade="80"/>
              <w:bottom w:val="nil"/>
              <w:right w:val="nil"/>
            </w:tcBorders>
            <w:shd w:val="clear" w:color="auto" w:fill="FFFFFF" w:themeFill="background1"/>
            <w:vAlign w:val="bottom"/>
          </w:tcPr>
          <w:p w14:paraId="3944F22D" w14:textId="7A71FBC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bCs/>
              </w:rPr>
              <w:t>3.516.885</w:t>
            </w:r>
          </w:p>
        </w:tc>
        <w:tc>
          <w:tcPr>
            <w:tcW w:w="1297" w:type="dxa"/>
            <w:tcBorders>
              <w:top w:val="nil"/>
              <w:left w:val="nil"/>
              <w:bottom w:val="nil"/>
              <w:right w:val="single" w:sz="2" w:space="0" w:color="808080" w:themeColor="background1" w:themeShade="80"/>
            </w:tcBorders>
            <w:shd w:val="clear" w:color="auto" w:fill="FFFFFF" w:themeFill="background1"/>
            <w:vAlign w:val="bottom"/>
          </w:tcPr>
          <w:p w14:paraId="250B8170" w14:textId="75A707A5"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bCs/>
              </w:rPr>
              <w:t>3.798.434</w:t>
            </w:r>
          </w:p>
        </w:tc>
        <w:tc>
          <w:tcPr>
            <w:tcW w:w="1154" w:type="dxa"/>
            <w:tcBorders>
              <w:top w:val="nil"/>
              <w:left w:val="single" w:sz="2" w:space="0" w:color="808080" w:themeColor="background1" w:themeShade="80"/>
              <w:bottom w:val="nil"/>
              <w:right w:val="nil"/>
            </w:tcBorders>
            <w:shd w:val="clear" w:color="auto" w:fill="FFFFFF" w:themeFill="background1"/>
            <w:vAlign w:val="bottom"/>
          </w:tcPr>
          <w:p w14:paraId="45717E67" w14:textId="6DA2511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rPr>
              <w:t>-</w:t>
            </w:r>
            <w:r w:rsidRPr="000E74C4">
              <w:rPr>
                <w:rFonts w:ascii="Arial" w:hAnsi="Arial" w:cs="Arial"/>
                <w:b/>
                <w:bCs/>
              </w:rPr>
              <w:t>7,4</w:t>
            </w:r>
            <w:r w:rsidRPr="000E74C4">
              <w:rPr>
                <w:rFonts w:ascii="Arial" w:hAnsi="Arial" w:cs="Arial"/>
                <w:b/>
              </w:rPr>
              <w:t>%</w:t>
            </w:r>
          </w:p>
        </w:tc>
        <w:tc>
          <w:tcPr>
            <w:tcW w:w="1122" w:type="dxa"/>
            <w:tcBorders>
              <w:top w:val="nil"/>
              <w:left w:val="nil"/>
              <w:bottom w:val="nil"/>
              <w:right w:val="single" w:sz="2" w:space="0" w:color="808080" w:themeColor="background1" w:themeShade="80"/>
            </w:tcBorders>
            <w:shd w:val="clear" w:color="auto" w:fill="FFFFFF" w:themeFill="background1"/>
            <w:vAlign w:val="bottom"/>
          </w:tcPr>
          <w:p w14:paraId="2E0B11A8" w14:textId="4BB379FB"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bCs/>
                <w:lang w:val="el-GR"/>
              </w:rPr>
              <w:t>(</w:t>
            </w:r>
            <w:r w:rsidRPr="000E74C4">
              <w:rPr>
                <w:rFonts w:ascii="Arial" w:hAnsi="Arial" w:cs="Arial"/>
                <w:b/>
                <w:bCs/>
              </w:rPr>
              <w:t>281.549</w:t>
            </w:r>
            <w:r w:rsidRPr="000E74C4">
              <w:rPr>
                <w:rFonts w:ascii="Arial" w:hAnsi="Arial" w:cs="Arial"/>
                <w:b/>
                <w:bCs/>
                <w:lang w:val="el-GR"/>
              </w:rPr>
              <w:t>)</w:t>
            </w:r>
          </w:p>
        </w:tc>
        <w:tc>
          <w:tcPr>
            <w:tcW w:w="1331" w:type="dxa"/>
            <w:tcBorders>
              <w:top w:val="nil"/>
              <w:left w:val="single" w:sz="2" w:space="0" w:color="808080" w:themeColor="background1" w:themeShade="80"/>
              <w:bottom w:val="nil"/>
              <w:right w:val="nil"/>
            </w:tcBorders>
            <w:shd w:val="clear" w:color="auto" w:fill="FFFFFF" w:themeFill="background1"/>
            <w:vAlign w:val="bottom"/>
          </w:tcPr>
          <w:p w14:paraId="79B12482" w14:textId="6BC99D06" w:rsidR="000E74C4" w:rsidRPr="00CA0A9C" w:rsidRDefault="000E74C4" w:rsidP="000E74C4">
            <w:pPr>
              <w:pStyle w:val="ColorfulList-Accent11"/>
              <w:tabs>
                <w:tab w:val="left" w:pos="0"/>
                <w:tab w:val="left" w:pos="284"/>
              </w:tabs>
              <w:ind w:left="0" w:right="-90"/>
              <w:jc w:val="center"/>
              <w:rPr>
                <w:rFonts w:ascii="Arial" w:hAnsi="Arial" w:cs="Arial"/>
                <w:bCs/>
              </w:rPr>
            </w:pPr>
            <w:r w:rsidRPr="000E74C4">
              <w:rPr>
                <w:rFonts w:ascii="Arial" w:hAnsi="Arial" w:cs="Arial"/>
                <w:b/>
                <w:bCs/>
                <w:lang w:val="el-GR"/>
              </w:rPr>
              <w:t>(</w:t>
            </w:r>
            <w:r w:rsidRPr="000E74C4">
              <w:rPr>
                <w:rFonts w:ascii="Arial" w:hAnsi="Arial" w:cs="Arial"/>
                <w:b/>
                <w:bCs/>
              </w:rPr>
              <w:t>30.236</w:t>
            </w:r>
            <w:r w:rsidRPr="000E74C4">
              <w:rPr>
                <w:rFonts w:ascii="Arial" w:hAnsi="Arial" w:cs="Arial"/>
                <w:b/>
                <w:bCs/>
                <w:lang w:val="el-GR"/>
              </w:rPr>
              <w:t>)</w:t>
            </w:r>
          </w:p>
        </w:tc>
      </w:tr>
      <w:tr w:rsidR="000E74C4" w:rsidRPr="001745EE" w14:paraId="7C784744" w14:textId="77777777" w:rsidTr="000E74C4">
        <w:trPr>
          <w:trHeight w:val="322"/>
        </w:trPr>
        <w:tc>
          <w:tcPr>
            <w:tcW w:w="4269" w:type="dxa"/>
            <w:tcBorders>
              <w:top w:val="nil"/>
              <w:bottom w:val="nil"/>
              <w:right w:val="single" w:sz="2" w:space="0" w:color="808080" w:themeColor="background1" w:themeShade="80"/>
            </w:tcBorders>
            <w:shd w:val="clear" w:color="auto" w:fill="FFFFFF" w:themeFill="background1"/>
            <w:vAlign w:val="bottom"/>
          </w:tcPr>
          <w:p w14:paraId="75401E73" w14:textId="1BE625C5" w:rsidR="000E74C4" w:rsidRPr="000067B8" w:rsidRDefault="000E74C4" w:rsidP="000E74C4">
            <w:pPr>
              <w:pStyle w:val="ColorfulList-Accent11"/>
              <w:tabs>
                <w:tab w:val="left" w:pos="0"/>
                <w:tab w:val="left" w:pos="284"/>
              </w:tabs>
              <w:ind w:left="0" w:right="-90"/>
              <w:rPr>
                <w:rFonts w:ascii="Arial" w:hAnsi="Arial" w:cs="Arial"/>
                <w:bCs/>
                <w:i/>
              </w:rPr>
            </w:pPr>
            <w:r w:rsidRPr="000E74C4">
              <w:rPr>
                <w:rFonts w:ascii="Arial" w:hAnsi="Arial" w:cs="Arial"/>
                <w:bCs/>
                <w:i/>
              </w:rPr>
              <w:t xml:space="preserve">      </w:t>
            </w:r>
            <w:r w:rsidRPr="000E74C4">
              <w:rPr>
                <w:rFonts w:ascii="Arial" w:hAnsi="Arial" w:cs="Arial"/>
                <w:bCs/>
                <w:i/>
                <w:lang w:val="el-GR"/>
              </w:rPr>
              <w:t xml:space="preserve">                        </w:t>
            </w:r>
            <w:r w:rsidRPr="000E74C4">
              <w:rPr>
                <w:rFonts w:ascii="Arial" w:hAnsi="Arial" w:cs="Arial"/>
                <w:bCs/>
                <w:i/>
              </w:rPr>
              <w:t xml:space="preserve"> </w:t>
            </w:r>
            <w:r w:rsidR="0032034B">
              <w:rPr>
                <w:rFonts w:ascii="Arial" w:hAnsi="Arial" w:cs="Arial"/>
                <w:bCs/>
                <w:i/>
                <w:lang w:val="el-GR"/>
              </w:rPr>
              <w:t>Συνδρομητές</w:t>
            </w:r>
            <w:r w:rsidR="0032034B" w:rsidRPr="000E74C4">
              <w:rPr>
                <w:rFonts w:ascii="Arial" w:hAnsi="Arial" w:cs="Arial"/>
                <w:bCs/>
                <w:i/>
              </w:rPr>
              <w:t xml:space="preserve"> </w:t>
            </w:r>
            <w:r w:rsidRPr="000E74C4">
              <w:rPr>
                <w:rFonts w:ascii="Arial" w:hAnsi="Arial" w:cs="Arial"/>
                <w:bCs/>
                <w:i/>
              </w:rPr>
              <w:t>συμβολαίου</w:t>
            </w:r>
          </w:p>
        </w:tc>
        <w:tc>
          <w:tcPr>
            <w:tcW w:w="1563" w:type="dxa"/>
            <w:tcBorders>
              <w:top w:val="nil"/>
              <w:left w:val="single" w:sz="2" w:space="0" w:color="808080" w:themeColor="background1" w:themeShade="80"/>
              <w:bottom w:val="nil"/>
              <w:right w:val="nil"/>
            </w:tcBorders>
            <w:shd w:val="clear" w:color="auto" w:fill="FFFFFF" w:themeFill="background1"/>
            <w:vAlign w:val="bottom"/>
          </w:tcPr>
          <w:p w14:paraId="37DD1D43" w14:textId="7B959AF9"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1.968.605</w:t>
            </w:r>
          </w:p>
        </w:tc>
        <w:tc>
          <w:tcPr>
            <w:tcW w:w="1297" w:type="dxa"/>
            <w:tcBorders>
              <w:top w:val="nil"/>
              <w:left w:val="nil"/>
              <w:bottom w:val="nil"/>
              <w:right w:val="single" w:sz="2" w:space="0" w:color="808080" w:themeColor="background1" w:themeShade="80"/>
            </w:tcBorders>
            <w:shd w:val="clear" w:color="auto" w:fill="FFFFFF" w:themeFill="background1"/>
            <w:vAlign w:val="bottom"/>
          </w:tcPr>
          <w:p w14:paraId="38B85401" w14:textId="5247A3A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1.915.939</w:t>
            </w:r>
          </w:p>
        </w:tc>
        <w:tc>
          <w:tcPr>
            <w:tcW w:w="1154" w:type="dxa"/>
            <w:tcBorders>
              <w:top w:val="nil"/>
              <w:left w:val="single" w:sz="2" w:space="0" w:color="808080" w:themeColor="background1" w:themeShade="80"/>
              <w:bottom w:val="nil"/>
              <w:right w:val="nil"/>
            </w:tcBorders>
            <w:shd w:val="clear" w:color="auto" w:fill="FFFFFF" w:themeFill="background1"/>
            <w:vAlign w:val="bottom"/>
          </w:tcPr>
          <w:p w14:paraId="127B7AD7" w14:textId="33E3F5F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rPr>
              <w:t>+</w:t>
            </w:r>
            <w:r w:rsidRPr="000E74C4">
              <w:rPr>
                <w:rFonts w:ascii="Arial" w:hAnsi="Arial" w:cs="Arial"/>
                <w:i/>
                <w:iCs/>
              </w:rPr>
              <w:t>2,7</w:t>
            </w:r>
            <w:r w:rsidRPr="000E74C4">
              <w:rPr>
                <w:rFonts w:ascii="Arial" w:hAnsi="Arial" w:cs="Arial"/>
                <w:i/>
              </w:rPr>
              <w:t>%</w:t>
            </w:r>
          </w:p>
        </w:tc>
        <w:tc>
          <w:tcPr>
            <w:tcW w:w="1122" w:type="dxa"/>
            <w:tcBorders>
              <w:top w:val="nil"/>
              <w:left w:val="nil"/>
              <w:bottom w:val="nil"/>
              <w:right w:val="single" w:sz="2" w:space="0" w:color="808080" w:themeColor="background1" w:themeShade="80"/>
            </w:tcBorders>
            <w:shd w:val="clear" w:color="auto" w:fill="FFFFFF" w:themeFill="background1"/>
            <w:vAlign w:val="bottom"/>
          </w:tcPr>
          <w:p w14:paraId="262440BB" w14:textId="4A29668E"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52.666</w:t>
            </w:r>
          </w:p>
        </w:tc>
        <w:tc>
          <w:tcPr>
            <w:tcW w:w="1331" w:type="dxa"/>
            <w:tcBorders>
              <w:top w:val="nil"/>
              <w:left w:val="single" w:sz="2" w:space="0" w:color="808080" w:themeColor="background1" w:themeShade="80"/>
              <w:bottom w:val="nil"/>
              <w:right w:val="nil"/>
            </w:tcBorders>
            <w:shd w:val="clear" w:color="auto" w:fill="FFFFFF" w:themeFill="background1"/>
            <w:vAlign w:val="bottom"/>
          </w:tcPr>
          <w:p w14:paraId="57D4095E" w14:textId="18038815" w:rsidR="000E74C4" w:rsidRPr="00CA0A9C" w:rsidRDefault="000E74C4" w:rsidP="000E74C4">
            <w:pPr>
              <w:pStyle w:val="ColorfulList-Accent11"/>
              <w:tabs>
                <w:tab w:val="left" w:pos="0"/>
                <w:tab w:val="left" w:pos="284"/>
              </w:tabs>
              <w:ind w:left="0" w:right="-90"/>
              <w:jc w:val="center"/>
              <w:rPr>
                <w:rFonts w:ascii="Arial" w:hAnsi="Arial" w:cs="Arial"/>
                <w:bCs/>
              </w:rPr>
            </w:pPr>
            <w:r w:rsidRPr="000E74C4">
              <w:rPr>
                <w:rFonts w:ascii="Arial" w:hAnsi="Arial" w:cs="Arial"/>
                <w:i/>
              </w:rPr>
              <w:t>8.</w:t>
            </w:r>
            <w:r w:rsidRPr="000E74C4">
              <w:rPr>
                <w:rFonts w:ascii="Arial" w:hAnsi="Arial" w:cs="Arial"/>
                <w:i/>
                <w:iCs/>
              </w:rPr>
              <w:t>678</w:t>
            </w:r>
          </w:p>
        </w:tc>
      </w:tr>
      <w:tr w:rsidR="000E74C4" w:rsidRPr="001745EE" w14:paraId="4763F036" w14:textId="77777777" w:rsidTr="000E74C4">
        <w:trPr>
          <w:trHeight w:val="176"/>
        </w:trPr>
        <w:tc>
          <w:tcPr>
            <w:tcW w:w="4269"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2D530007" w14:textId="6743B68E" w:rsidR="000E74C4" w:rsidRPr="000067B8" w:rsidRDefault="000E74C4" w:rsidP="000E74C4">
            <w:pPr>
              <w:pStyle w:val="ColorfulList-Accent11"/>
              <w:tabs>
                <w:tab w:val="left" w:pos="0"/>
                <w:tab w:val="left" w:pos="284"/>
              </w:tabs>
              <w:ind w:left="0" w:right="-90"/>
              <w:rPr>
                <w:rFonts w:ascii="Arial" w:hAnsi="Arial" w:cs="Arial"/>
                <w:bCs/>
                <w:i/>
              </w:rPr>
            </w:pPr>
            <w:r w:rsidRPr="000E74C4">
              <w:rPr>
                <w:rFonts w:ascii="Arial" w:hAnsi="Arial" w:cs="Arial"/>
                <w:bCs/>
                <w:i/>
              </w:rPr>
              <w:t xml:space="preserve">       </w:t>
            </w:r>
            <w:r w:rsidRPr="000E74C4">
              <w:rPr>
                <w:rFonts w:ascii="Arial" w:hAnsi="Arial" w:cs="Arial"/>
                <w:bCs/>
                <w:i/>
                <w:lang w:val="el-GR"/>
              </w:rPr>
              <w:t xml:space="preserve">                       </w:t>
            </w:r>
            <w:r w:rsidR="0032034B">
              <w:rPr>
                <w:rFonts w:ascii="Arial" w:hAnsi="Arial" w:cs="Arial"/>
                <w:bCs/>
                <w:i/>
                <w:lang w:val="el-GR"/>
              </w:rPr>
              <w:t>Συνδρομητές</w:t>
            </w:r>
            <w:r w:rsidR="0032034B" w:rsidRPr="000E74C4">
              <w:rPr>
                <w:rFonts w:ascii="Arial" w:hAnsi="Arial" w:cs="Arial"/>
                <w:bCs/>
                <w:i/>
              </w:rPr>
              <w:t xml:space="preserve"> </w:t>
            </w:r>
            <w:r w:rsidRPr="000E74C4">
              <w:rPr>
                <w:rFonts w:ascii="Arial" w:hAnsi="Arial" w:cs="Arial"/>
                <w:bCs/>
                <w:i/>
              </w:rPr>
              <w:t>καρτοκινητής</w:t>
            </w:r>
          </w:p>
        </w:tc>
        <w:tc>
          <w:tcPr>
            <w:tcW w:w="1563"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6434DDFD" w14:textId="4533E785"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1.548.280</w:t>
            </w:r>
          </w:p>
        </w:tc>
        <w:tc>
          <w:tcPr>
            <w:tcW w:w="1297"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5B351DC2" w14:textId="51BAD0F0"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1.882.495</w:t>
            </w:r>
          </w:p>
        </w:tc>
        <w:tc>
          <w:tcPr>
            <w:tcW w:w="1154"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1FC37611" w14:textId="6EADBDF2"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rPr>
              <w:t>-</w:t>
            </w:r>
            <w:r w:rsidRPr="000E74C4">
              <w:rPr>
                <w:rFonts w:ascii="Arial" w:hAnsi="Arial" w:cs="Arial"/>
                <w:i/>
                <w:iCs/>
              </w:rPr>
              <w:t>17,8</w:t>
            </w:r>
            <w:r w:rsidRPr="000E74C4">
              <w:rPr>
                <w:rFonts w:ascii="Arial" w:hAnsi="Arial" w:cs="Arial"/>
                <w:i/>
              </w:rPr>
              <w:t>%</w:t>
            </w:r>
          </w:p>
        </w:tc>
        <w:tc>
          <w:tcPr>
            <w:tcW w:w="1122"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289534CE" w14:textId="76EAED22"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lang w:val="el-GR"/>
              </w:rPr>
              <w:t>(</w:t>
            </w:r>
            <w:r w:rsidRPr="000E74C4">
              <w:rPr>
                <w:rFonts w:ascii="Arial" w:hAnsi="Arial" w:cs="Arial"/>
                <w:i/>
                <w:iCs/>
              </w:rPr>
              <w:t>334.215</w:t>
            </w:r>
            <w:r w:rsidRPr="000E74C4">
              <w:rPr>
                <w:rFonts w:ascii="Arial" w:hAnsi="Arial" w:cs="Arial"/>
                <w:i/>
                <w:iCs/>
                <w:lang w:val="el-GR"/>
              </w:rPr>
              <w:t>)</w:t>
            </w:r>
          </w:p>
        </w:tc>
        <w:tc>
          <w:tcPr>
            <w:tcW w:w="133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7F179960" w14:textId="3902914D"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lang w:val="el-GR"/>
              </w:rPr>
              <w:t>(</w:t>
            </w:r>
            <w:r w:rsidRPr="000E74C4">
              <w:rPr>
                <w:rFonts w:ascii="Arial" w:hAnsi="Arial" w:cs="Arial"/>
                <w:i/>
                <w:iCs/>
              </w:rPr>
              <w:t>38.914</w:t>
            </w:r>
            <w:r w:rsidRPr="000E74C4">
              <w:rPr>
                <w:rFonts w:ascii="Arial" w:hAnsi="Arial" w:cs="Arial"/>
                <w:i/>
                <w:iCs/>
                <w:lang w:val="el-GR"/>
              </w:rPr>
              <w:t>)</w:t>
            </w:r>
          </w:p>
        </w:tc>
      </w:tr>
    </w:tbl>
    <w:p w14:paraId="3A4814E5" w14:textId="77777777" w:rsidR="008E4B40" w:rsidRDefault="008E4B40" w:rsidP="00B31BA6">
      <w:pPr>
        <w:rPr>
          <w:rFonts w:ascii="Arial" w:hAnsi="Arial" w:cs="Arial"/>
          <w:b/>
          <w:sz w:val="24"/>
          <w:szCs w:val="24"/>
        </w:rPr>
      </w:pPr>
    </w:p>
    <w:tbl>
      <w:tblPr>
        <w:tblStyle w:val="TableGrid"/>
        <w:tblW w:w="1062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7"/>
        <w:gridCol w:w="1045"/>
        <w:gridCol w:w="1085"/>
        <w:gridCol w:w="1167"/>
        <w:gridCol w:w="1167"/>
        <w:gridCol w:w="1167"/>
        <w:gridCol w:w="1167"/>
      </w:tblGrid>
      <w:tr w:rsidR="000E74C4" w:rsidRPr="008263F5" w14:paraId="18116DEA" w14:textId="77777777" w:rsidTr="00E05DA4">
        <w:trPr>
          <w:trHeight w:val="408"/>
        </w:trPr>
        <w:tc>
          <w:tcPr>
            <w:tcW w:w="3827"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E11ADC" w14:textId="596B3C1C" w:rsidR="000E74C4" w:rsidRPr="008263F5" w:rsidRDefault="000E74C4" w:rsidP="00E05DA4">
            <w:pPr>
              <w:tabs>
                <w:tab w:val="left" w:pos="4047"/>
              </w:tabs>
              <w:ind w:left="-108"/>
              <w:rPr>
                <w:rFonts w:ascii="Arial" w:hAnsi="Arial" w:cs="Arial"/>
                <w:i/>
                <w:color w:val="000000" w:themeColor="text1"/>
              </w:rPr>
            </w:pPr>
            <w:r w:rsidRPr="008263F5">
              <w:rPr>
                <w:rFonts w:ascii="Arial" w:hAnsi="Arial" w:cs="Arial"/>
                <w:b/>
                <w:color w:val="000000" w:themeColor="text1"/>
              </w:rPr>
              <w:t xml:space="preserve">  </w:t>
            </w:r>
            <w:r w:rsidRPr="000E74C4">
              <w:rPr>
                <w:rFonts w:ascii="Arial" w:hAnsi="Arial" w:cs="Arial"/>
                <w:b/>
                <w:bCs/>
                <w:lang w:val="el-GR"/>
              </w:rPr>
              <w:t>Χρηματοοικονομικά Στοιχεία</w:t>
            </w:r>
            <w:r w:rsidRPr="000E74C4">
              <w:rPr>
                <w:rFonts w:ascii="Arial" w:hAnsi="Arial" w:cs="Arial"/>
                <w:b/>
                <w:bCs/>
              </w:rPr>
              <w:t xml:space="preserve"> </w:t>
            </w:r>
            <w:r>
              <w:rPr>
                <w:rFonts w:ascii="Arial" w:hAnsi="Arial" w:cs="Arial"/>
                <w:b/>
                <w:bCs/>
                <w:lang w:val="el-GR"/>
              </w:rPr>
              <w:t>(</w:t>
            </w:r>
            <w:r w:rsidRPr="000E74C4">
              <w:rPr>
                <w:rFonts w:ascii="Arial" w:hAnsi="Arial" w:cs="Arial"/>
                <w:b/>
                <w:bCs/>
              </w:rPr>
              <w:t>Εκατ. €</w:t>
            </w:r>
            <w:r>
              <w:rPr>
                <w:rFonts w:ascii="Arial" w:hAnsi="Arial" w:cs="Arial"/>
                <w:b/>
                <w:bCs/>
                <w:lang w:val="el-GR"/>
              </w:rPr>
              <w:t>)</w:t>
            </w:r>
          </w:p>
        </w:tc>
        <w:tc>
          <w:tcPr>
            <w:tcW w:w="10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6DD01980" w14:textId="77777777" w:rsidR="000E74C4" w:rsidRPr="008263F5" w:rsidRDefault="000E74C4" w:rsidP="00E05DA4">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Q4'24</w:t>
            </w:r>
          </w:p>
        </w:tc>
        <w:tc>
          <w:tcPr>
            <w:tcW w:w="1085" w:type="dxa"/>
            <w:tcBorders>
              <w:top w:val="single" w:sz="2" w:space="0" w:color="808080" w:themeColor="background1" w:themeShade="80"/>
              <w:left w:val="nil"/>
              <w:bottom w:val="single" w:sz="2" w:space="0" w:color="808080" w:themeColor="background1" w:themeShade="80"/>
              <w:right w:val="nil"/>
            </w:tcBorders>
            <w:vAlign w:val="center"/>
          </w:tcPr>
          <w:p w14:paraId="636F2A73" w14:textId="77777777" w:rsidR="000E74C4" w:rsidRPr="008263F5" w:rsidRDefault="000E74C4" w:rsidP="00E05DA4">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Q4'23</w:t>
            </w:r>
          </w:p>
        </w:tc>
        <w:tc>
          <w:tcPr>
            <w:tcW w:w="116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BC6DCC" w14:textId="77777777" w:rsidR="000E74C4" w:rsidRPr="00E01011" w:rsidRDefault="000E74C4" w:rsidP="00E05DA4">
            <w:pPr>
              <w:pStyle w:val="ColorfulList-Accent11"/>
              <w:tabs>
                <w:tab w:val="left" w:pos="0"/>
                <w:tab w:val="left" w:pos="284"/>
              </w:tabs>
              <w:ind w:left="0" w:right="-90"/>
              <w:jc w:val="center"/>
              <w:rPr>
                <w:rFonts w:ascii="Arial" w:hAnsi="Arial" w:cs="Arial"/>
                <w:i/>
                <w:color w:val="000000" w:themeColor="text1"/>
              </w:rPr>
            </w:pPr>
            <w:r>
              <w:rPr>
                <w:rFonts w:ascii="Arial" w:hAnsi="Arial" w:cs="Arial"/>
                <w:b/>
                <w:color w:val="000000" w:themeColor="text1"/>
                <w:sz w:val="22"/>
                <w:szCs w:val="22"/>
              </w:rPr>
              <w:t>y-o-y</w:t>
            </w:r>
          </w:p>
        </w:tc>
        <w:tc>
          <w:tcPr>
            <w:tcW w:w="116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69CCF3CA" w14:textId="77777777" w:rsidR="000E74C4" w:rsidRPr="008263F5" w:rsidRDefault="000E74C4" w:rsidP="00E05DA4">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12M'24</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76B16D90" w14:textId="77777777" w:rsidR="000E74C4" w:rsidRPr="008263F5" w:rsidRDefault="000E74C4" w:rsidP="00E05DA4">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12M'23</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0FC51DB5" w14:textId="77777777" w:rsidR="000E74C4" w:rsidRPr="008263F5" w:rsidRDefault="000E74C4" w:rsidP="00E05DA4">
            <w:pPr>
              <w:pStyle w:val="ColorfulList-Accent11"/>
              <w:tabs>
                <w:tab w:val="left" w:pos="0"/>
                <w:tab w:val="left" w:pos="284"/>
              </w:tabs>
              <w:ind w:left="0" w:right="-90"/>
              <w:jc w:val="center"/>
              <w:rPr>
                <w:rFonts w:ascii="Arial" w:hAnsi="Arial" w:cs="Arial"/>
                <w:b/>
                <w:color w:val="000000" w:themeColor="text1"/>
                <w:sz w:val="22"/>
                <w:szCs w:val="22"/>
                <w:lang w:val="el-GR"/>
              </w:rPr>
            </w:pPr>
            <w:r>
              <w:rPr>
                <w:rFonts w:ascii="Arial" w:hAnsi="Arial" w:cs="Arial"/>
                <w:b/>
                <w:color w:val="000000" w:themeColor="text1"/>
                <w:sz w:val="22"/>
                <w:szCs w:val="22"/>
              </w:rPr>
              <w:t>y-o-y</w:t>
            </w:r>
          </w:p>
        </w:tc>
      </w:tr>
      <w:tr w:rsidR="000E74C4" w:rsidRPr="008263F5" w14:paraId="2A54A8BA" w14:textId="77777777" w:rsidTr="00E05DA4">
        <w:trPr>
          <w:trHeight w:val="306"/>
        </w:trPr>
        <w:tc>
          <w:tcPr>
            <w:tcW w:w="3827"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FB27695" w14:textId="70127C5B" w:rsidR="000E74C4" w:rsidRPr="008263F5" w:rsidRDefault="000E74C4" w:rsidP="000E74C4">
            <w:pPr>
              <w:pStyle w:val="ColorfulList-Accent11"/>
              <w:tabs>
                <w:tab w:val="left" w:pos="0"/>
                <w:tab w:val="left" w:pos="284"/>
              </w:tabs>
              <w:ind w:left="0" w:right="-90"/>
              <w:rPr>
                <w:rFonts w:ascii="Arial" w:hAnsi="Arial" w:cs="Arial"/>
                <w:color w:val="000000" w:themeColor="text1"/>
              </w:rPr>
            </w:pPr>
            <w:r w:rsidRPr="000E74C4">
              <w:rPr>
                <w:rFonts w:ascii="Arial" w:hAnsi="Arial" w:cs="Arial"/>
                <w:b/>
                <w:bCs/>
              </w:rPr>
              <w:t>Κύκλος Εργασιών</w:t>
            </w:r>
          </w:p>
        </w:tc>
        <w:tc>
          <w:tcPr>
            <w:tcW w:w="1045"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2C7C2465" w14:textId="398B64DF"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64,0</w:t>
            </w:r>
          </w:p>
        </w:tc>
        <w:tc>
          <w:tcPr>
            <w:tcW w:w="1085" w:type="dxa"/>
            <w:tcBorders>
              <w:top w:val="single" w:sz="2" w:space="0" w:color="808080" w:themeColor="background1" w:themeShade="80"/>
              <w:left w:val="nil"/>
              <w:bottom w:val="nil"/>
              <w:right w:val="nil"/>
            </w:tcBorders>
            <w:shd w:val="clear" w:color="auto" w:fill="F2F2F2" w:themeFill="background1" w:themeFillShade="F2"/>
            <w:vAlign w:val="center"/>
          </w:tcPr>
          <w:p w14:paraId="318D10AE" w14:textId="0C681439"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77,5</w:t>
            </w:r>
          </w:p>
        </w:tc>
        <w:tc>
          <w:tcPr>
            <w:tcW w:w="1167"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0BC5C2D3" w14:textId="1C1318E0"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-17,4%</w:t>
            </w:r>
          </w:p>
        </w:tc>
        <w:tc>
          <w:tcPr>
            <w:tcW w:w="116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3CCFC370" w14:textId="581D9C12"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263,3</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09896EAA" w14:textId="3186C9C9"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286,9</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78673477" w14:textId="35D5D4FA"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-8,2%</w:t>
            </w:r>
          </w:p>
        </w:tc>
      </w:tr>
      <w:tr w:rsidR="000E74C4" w:rsidRPr="008263F5" w14:paraId="39799E0F" w14:textId="77777777" w:rsidTr="00E05DA4">
        <w:trPr>
          <w:trHeight w:val="306"/>
        </w:trPr>
        <w:tc>
          <w:tcPr>
            <w:tcW w:w="3827" w:type="dxa"/>
            <w:tcBorders>
              <w:top w:val="nil"/>
              <w:bottom w:val="nil"/>
              <w:right w:val="single" w:sz="2" w:space="0" w:color="808080" w:themeColor="background1" w:themeShade="80"/>
            </w:tcBorders>
            <w:shd w:val="clear" w:color="auto" w:fill="auto"/>
            <w:vAlign w:val="center"/>
          </w:tcPr>
          <w:p w14:paraId="0CD9A5D7" w14:textId="10084EE3" w:rsidR="000E74C4" w:rsidRPr="008263F5" w:rsidRDefault="000E74C4" w:rsidP="000E74C4">
            <w:pPr>
              <w:pStyle w:val="ColorfulList-Accent11"/>
              <w:tabs>
                <w:tab w:val="left" w:pos="0"/>
                <w:tab w:val="left" w:pos="284"/>
              </w:tabs>
              <w:ind w:left="0" w:right="-90"/>
              <w:rPr>
                <w:rFonts w:ascii="Arial" w:hAnsi="Arial" w:cs="Arial"/>
                <w:color w:val="000000" w:themeColor="text1"/>
              </w:rPr>
            </w:pPr>
            <w:r w:rsidRPr="000E74C4">
              <w:rPr>
                <w:rFonts w:ascii="Arial" w:hAnsi="Arial" w:cs="Arial"/>
              </w:rPr>
              <w:t>Έσοδα από υπηρεσίες κινητής</w:t>
            </w:r>
          </w:p>
        </w:tc>
        <w:tc>
          <w:tcPr>
            <w:tcW w:w="1045" w:type="dxa"/>
            <w:tcBorders>
              <w:top w:val="nil"/>
              <w:left w:val="single" w:sz="2" w:space="0" w:color="808080" w:themeColor="background1" w:themeShade="80"/>
              <w:bottom w:val="nil"/>
              <w:right w:val="nil"/>
            </w:tcBorders>
            <w:shd w:val="clear" w:color="auto" w:fill="auto"/>
            <w:vAlign w:val="center"/>
          </w:tcPr>
          <w:p w14:paraId="14BBDA69" w14:textId="65C9DD5B"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37,3</w:t>
            </w:r>
          </w:p>
        </w:tc>
        <w:tc>
          <w:tcPr>
            <w:tcW w:w="1085" w:type="dxa"/>
            <w:tcBorders>
              <w:top w:val="nil"/>
              <w:left w:val="nil"/>
              <w:bottom w:val="nil"/>
              <w:right w:val="nil"/>
            </w:tcBorders>
            <w:shd w:val="clear" w:color="auto" w:fill="auto"/>
            <w:vAlign w:val="center"/>
          </w:tcPr>
          <w:p w14:paraId="05B6B58E" w14:textId="3B535DE8"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43,3</w:t>
            </w:r>
          </w:p>
        </w:tc>
        <w:tc>
          <w:tcPr>
            <w:tcW w:w="1167" w:type="dxa"/>
            <w:tcBorders>
              <w:top w:val="nil"/>
              <w:left w:val="nil"/>
              <w:bottom w:val="nil"/>
              <w:right w:val="single" w:sz="2" w:space="0" w:color="808080" w:themeColor="background1" w:themeShade="80"/>
            </w:tcBorders>
            <w:shd w:val="clear" w:color="auto" w:fill="auto"/>
            <w:vAlign w:val="center"/>
          </w:tcPr>
          <w:p w14:paraId="4D5FC008" w14:textId="0CD86580"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-13,9%</w:t>
            </w:r>
          </w:p>
        </w:tc>
        <w:tc>
          <w:tcPr>
            <w:tcW w:w="1167" w:type="dxa"/>
            <w:tcBorders>
              <w:top w:val="nil"/>
              <w:left w:val="single" w:sz="2" w:space="0" w:color="808080" w:themeColor="background1" w:themeShade="80"/>
              <w:bottom w:val="nil"/>
              <w:right w:val="nil"/>
            </w:tcBorders>
            <w:vAlign w:val="center"/>
          </w:tcPr>
          <w:p w14:paraId="6D56DCA1" w14:textId="43E27B7D"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154,7</w:t>
            </w:r>
          </w:p>
        </w:tc>
        <w:tc>
          <w:tcPr>
            <w:tcW w:w="1167" w:type="dxa"/>
            <w:tcBorders>
              <w:top w:val="nil"/>
              <w:left w:val="nil"/>
              <w:bottom w:val="nil"/>
              <w:right w:val="nil"/>
            </w:tcBorders>
            <w:vAlign w:val="center"/>
          </w:tcPr>
          <w:p w14:paraId="385AF1A4" w14:textId="6AA2D030"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185,0</w:t>
            </w:r>
          </w:p>
        </w:tc>
        <w:tc>
          <w:tcPr>
            <w:tcW w:w="1167" w:type="dxa"/>
            <w:tcBorders>
              <w:top w:val="nil"/>
              <w:left w:val="nil"/>
              <w:bottom w:val="nil"/>
              <w:right w:val="nil"/>
            </w:tcBorders>
            <w:vAlign w:val="center"/>
          </w:tcPr>
          <w:p w14:paraId="13F502D0" w14:textId="0E1DE2A4"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-16,4%</w:t>
            </w:r>
          </w:p>
        </w:tc>
      </w:tr>
      <w:tr w:rsidR="000E74C4" w:rsidRPr="008263F5" w14:paraId="015BBFBE" w14:textId="77777777" w:rsidTr="00E05DA4">
        <w:trPr>
          <w:trHeight w:val="306"/>
        </w:trPr>
        <w:tc>
          <w:tcPr>
            <w:tcW w:w="3827" w:type="dxa"/>
            <w:tcBorders>
              <w:top w:val="nil"/>
              <w:bottom w:val="nil"/>
              <w:right w:val="single" w:sz="2" w:space="0" w:color="808080" w:themeColor="background1" w:themeShade="80"/>
            </w:tcBorders>
            <w:shd w:val="clear" w:color="auto" w:fill="auto"/>
            <w:vAlign w:val="center"/>
          </w:tcPr>
          <w:p w14:paraId="09B17DA5" w14:textId="53BF501C" w:rsidR="000E74C4" w:rsidRPr="008263F5" w:rsidRDefault="000E74C4" w:rsidP="000E74C4">
            <w:pPr>
              <w:pStyle w:val="ColorfulList-Accent11"/>
              <w:tabs>
                <w:tab w:val="left" w:pos="0"/>
                <w:tab w:val="left" w:pos="284"/>
              </w:tabs>
              <w:ind w:left="0" w:right="-90"/>
              <w:rPr>
                <w:rFonts w:ascii="Arial" w:hAnsi="Arial" w:cs="Arial"/>
                <w:color w:val="000000" w:themeColor="text1"/>
              </w:rPr>
            </w:pPr>
            <w:r w:rsidRPr="000E74C4">
              <w:rPr>
                <w:rFonts w:ascii="Arial" w:hAnsi="Arial" w:cs="Arial"/>
              </w:rPr>
              <w:t>Λοιπά Έσοδα</w:t>
            </w:r>
          </w:p>
        </w:tc>
        <w:tc>
          <w:tcPr>
            <w:tcW w:w="1045" w:type="dxa"/>
            <w:tcBorders>
              <w:top w:val="nil"/>
              <w:left w:val="single" w:sz="2" w:space="0" w:color="808080" w:themeColor="background1" w:themeShade="80"/>
              <w:bottom w:val="nil"/>
              <w:right w:val="nil"/>
            </w:tcBorders>
            <w:shd w:val="clear" w:color="auto" w:fill="auto"/>
            <w:vAlign w:val="center"/>
          </w:tcPr>
          <w:p w14:paraId="792DCE66" w14:textId="67B04F71"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26,7</w:t>
            </w:r>
          </w:p>
        </w:tc>
        <w:tc>
          <w:tcPr>
            <w:tcW w:w="1085" w:type="dxa"/>
            <w:tcBorders>
              <w:top w:val="nil"/>
              <w:left w:val="nil"/>
              <w:bottom w:val="nil"/>
              <w:right w:val="nil"/>
            </w:tcBorders>
            <w:shd w:val="clear" w:color="auto" w:fill="auto"/>
            <w:vAlign w:val="center"/>
          </w:tcPr>
          <w:p w14:paraId="6D540661" w14:textId="6A7C516E"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34,2</w:t>
            </w:r>
          </w:p>
        </w:tc>
        <w:tc>
          <w:tcPr>
            <w:tcW w:w="1167" w:type="dxa"/>
            <w:tcBorders>
              <w:top w:val="nil"/>
              <w:left w:val="nil"/>
              <w:bottom w:val="nil"/>
              <w:right w:val="single" w:sz="2" w:space="0" w:color="808080" w:themeColor="background1" w:themeShade="80"/>
            </w:tcBorders>
            <w:shd w:val="clear" w:color="auto" w:fill="auto"/>
            <w:vAlign w:val="center"/>
          </w:tcPr>
          <w:p w14:paraId="4B85A3A9" w14:textId="263551F8"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-21,9%</w:t>
            </w:r>
          </w:p>
        </w:tc>
        <w:tc>
          <w:tcPr>
            <w:tcW w:w="1167" w:type="dxa"/>
            <w:tcBorders>
              <w:top w:val="nil"/>
              <w:left w:val="single" w:sz="2" w:space="0" w:color="808080" w:themeColor="background1" w:themeShade="80"/>
              <w:bottom w:val="nil"/>
              <w:right w:val="nil"/>
            </w:tcBorders>
            <w:vAlign w:val="center"/>
          </w:tcPr>
          <w:p w14:paraId="60E45DF0" w14:textId="453D4A33"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108,6</w:t>
            </w:r>
          </w:p>
        </w:tc>
        <w:tc>
          <w:tcPr>
            <w:tcW w:w="1167" w:type="dxa"/>
            <w:tcBorders>
              <w:top w:val="nil"/>
              <w:left w:val="nil"/>
              <w:bottom w:val="nil"/>
              <w:right w:val="nil"/>
            </w:tcBorders>
            <w:vAlign w:val="center"/>
          </w:tcPr>
          <w:p w14:paraId="33F4AE55" w14:textId="4D1EDD8C"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101,9</w:t>
            </w:r>
          </w:p>
        </w:tc>
        <w:tc>
          <w:tcPr>
            <w:tcW w:w="1167" w:type="dxa"/>
            <w:tcBorders>
              <w:top w:val="nil"/>
              <w:left w:val="nil"/>
              <w:bottom w:val="nil"/>
              <w:right w:val="nil"/>
            </w:tcBorders>
            <w:vAlign w:val="center"/>
          </w:tcPr>
          <w:p w14:paraId="4CD0CD2B" w14:textId="3581EB5F"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+6,6%</w:t>
            </w:r>
          </w:p>
        </w:tc>
      </w:tr>
      <w:tr w:rsidR="000E74C4" w:rsidRPr="008263F5" w14:paraId="13CC520F" w14:textId="77777777" w:rsidTr="00E05DA4">
        <w:trPr>
          <w:trHeight w:val="306"/>
        </w:trPr>
        <w:tc>
          <w:tcPr>
            <w:tcW w:w="3827" w:type="dxa"/>
            <w:tcBorders>
              <w:top w:val="nil"/>
              <w:bottom w:val="nil"/>
              <w:right w:val="single" w:sz="2" w:space="0" w:color="808080" w:themeColor="background1" w:themeShade="80"/>
            </w:tcBorders>
            <w:shd w:val="clear" w:color="auto" w:fill="F2F2F2" w:themeFill="background1" w:themeFillShade="F2"/>
            <w:vAlign w:val="center"/>
          </w:tcPr>
          <w:p w14:paraId="37D79CB0" w14:textId="2A68ACF1" w:rsidR="000E74C4" w:rsidRPr="008263F5" w:rsidRDefault="000E74C4" w:rsidP="000E74C4">
            <w:pPr>
              <w:pStyle w:val="ColorfulList-Accent11"/>
              <w:tabs>
                <w:tab w:val="left" w:pos="0"/>
                <w:tab w:val="left" w:pos="284"/>
              </w:tabs>
              <w:ind w:left="0" w:right="-90"/>
              <w:rPr>
                <w:rFonts w:ascii="Arial" w:hAnsi="Arial" w:cs="Arial"/>
                <w:b/>
                <w:color w:val="000000" w:themeColor="text1"/>
              </w:rPr>
            </w:pPr>
            <w:r w:rsidRPr="000E74C4">
              <w:rPr>
                <w:rFonts w:ascii="Arial" w:hAnsi="Arial" w:cs="Arial"/>
                <w:b/>
              </w:rPr>
              <w:t>Προσαρμοσμένο EBITDA (AL)</w:t>
            </w:r>
          </w:p>
        </w:tc>
        <w:tc>
          <w:tcPr>
            <w:tcW w:w="1045" w:type="dxa"/>
            <w:tcBorders>
              <w:top w:val="nil"/>
              <w:left w:val="single" w:sz="2" w:space="0" w:color="808080" w:themeColor="background1" w:themeShade="80"/>
              <w:bottom w:val="nil"/>
              <w:right w:val="nil"/>
            </w:tcBorders>
            <w:shd w:val="clear" w:color="auto" w:fill="F2F2F2" w:themeFill="background1" w:themeFillShade="F2"/>
            <w:vAlign w:val="center"/>
          </w:tcPr>
          <w:p w14:paraId="65A2DC69" w14:textId="6E6BDDAC"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1,4</w:t>
            </w:r>
          </w:p>
        </w:tc>
        <w:tc>
          <w:tcPr>
            <w:tcW w:w="1085" w:type="dxa"/>
            <w:tcBorders>
              <w:top w:val="nil"/>
              <w:left w:val="nil"/>
              <w:bottom w:val="nil"/>
              <w:right w:val="nil"/>
            </w:tcBorders>
            <w:shd w:val="clear" w:color="auto" w:fill="F2F2F2" w:themeFill="background1" w:themeFillShade="F2"/>
            <w:vAlign w:val="center"/>
          </w:tcPr>
          <w:p w14:paraId="33EE9098" w14:textId="4CCC234E"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lang w:val="el-GR"/>
              </w:rPr>
              <w:t xml:space="preserve">   </w:t>
            </w:r>
            <w:r w:rsidRPr="000E74C4">
              <w:rPr>
                <w:rFonts w:ascii="Arial" w:hAnsi="Arial" w:cs="Arial"/>
                <w:b/>
                <w:bCs/>
              </w:rPr>
              <w:t>4,1</w:t>
            </w:r>
          </w:p>
        </w:tc>
        <w:tc>
          <w:tcPr>
            <w:tcW w:w="1167" w:type="dxa"/>
            <w:tcBorders>
              <w:top w:val="nil"/>
              <w:left w:val="nil"/>
              <w:bottom w:val="nil"/>
              <w:right w:val="single" w:sz="2" w:space="0" w:color="808080" w:themeColor="background1" w:themeShade="80"/>
            </w:tcBorders>
            <w:shd w:val="clear" w:color="auto" w:fill="F2F2F2" w:themeFill="background1" w:themeFillShade="F2"/>
            <w:vAlign w:val="center"/>
          </w:tcPr>
          <w:p w14:paraId="622DF900" w14:textId="259B8163"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-65,9%</w:t>
            </w:r>
          </w:p>
        </w:tc>
        <w:tc>
          <w:tcPr>
            <w:tcW w:w="1167" w:type="dxa"/>
            <w:tcBorders>
              <w:top w:val="nil"/>
              <w:left w:val="single" w:sz="2" w:space="0" w:color="808080" w:themeColor="background1" w:themeShade="80"/>
              <w:bottom w:val="nil"/>
              <w:right w:val="nil"/>
            </w:tcBorders>
            <w:shd w:val="clear" w:color="auto" w:fill="F2F2F2" w:themeFill="background1" w:themeFillShade="F2"/>
            <w:vAlign w:val="center"/>
          </w:tcPr>
          <w:p w14:paraId="18B6506A" w14:textId="50903E0D" w:rsidR="000E74C4" w:rsidRPr="0044531F" w:rsidRDefault="00D03A28" w:rsidP="000E74C4">
            <w:pPr>
              <w:pStyle w:val="ColorfulList-Accent11"/>
              <w:tabs>
                <w:tab w:val="left" w:pos="0"/>
                <w:tab w:val="left" w:pos="284"/>
              </w:tabs>
              <w:ind w:left="0" w:right="-90"/>
              <w:jc w:val="center"/>
              <w:rPr>
                <w:rFonts w:ascii="Arial" w:hAnsi="Arial" w:cs="Arial"/>
                <w:b/>
                <w:bCs/>
                <w:color w:val="000000" w:themeColor="text1"/>
              </w:rPr>
            </w:pPr>
            <w:r>
              <w:rPr>
                <w:rFonts w:ascii="Arial" w:hAnsi="Arial" w:cs="Arial"/>
                <w:b/>
                <w:bCs/>
                <w:lang w:val="el-GR"/>
              </w:rPr>
              <w:t xml:space="preserve">    </w:t>
            </w:r>
            <w:r w:rsidR="000E74C4" w:rsidRPr="000E74C4">
              <w:rPr>
                <w:rFonts w:ascii="Arial" w:hAnsi="Arial" w:cs="Arial"/>
                <w:b/>
                <w:bCs/>
              </w:rPr>
              <w:t>1,1</w:t>
            </w:r>
          </w:p>
        </w:tc>
        <w:tc>
          <w:tcPr>
            <w:tcW w:w="1167" w:type="dxa"/>
            <w:tcBorders>
              <w:top w:val="nil"/>
              <w:left w:val="nil"/>
              <w:bottom w:val="nil"/>
              <w:right w:val="nil"/>
            </w:tcBorders>
            <w:shd w:val="clear" w:color="auto" w:fill="F2F2F2" w:themeFill="background1" w:themeFillShade="F2"/>
            <w:vAlign w:val="center"/>
          </w:tcPr>
          <w:p w14:paraId="2537BD10" w14:textId="5C4F9C09"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17,0</w:t>
            </w:r>
          </w:p>
        </w:tc>
        <w:tc>
          <w:tcPr>
            <w:tcW w:w="1167" w:type="dxa"/>
            <w:tcBorders>
              <w:top w:val="nil"/>
              <w:left w:val="nil"/>
              <w:bottom w:val="nil"/>
              <w:right w:val="nil"/>
            </w:tcBorders>
            <w:shd w:val="clear" w:color="auto" w:fill="F2F2F2" w:themeFill="background1" w:themeFillShade="F2"/>
            <w:vAlign w:val="center"/>
          </w:tcPr>
          <w:p w14:paraId="665CDE62" w14:textId="2FD502B5"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-93,5%</w:t>
            </w:r>
          </w:p>
        </w:tc>
      </w:tr>
      <w:tr w:rsidR="000E74C4" w:rsidRPr="008263F5" w14:paraId="4E6BA916" w14:textId="77777777" w:rsidTr="00E05DA4">
        <w:trPr>
          <w:trHeight w:val="294"/>
        </w:trPr>
        <w:tc>
          <w:tcPr>
            <w:tcW w:w="3827"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74D7FA" w14:textId="2353C7B3" w:rsidR="000E74C4" w:rsidRPr="008263F5" w:rsidRDefault="000E74C4" w:rsidP="000E74C4">
            <w:pPr>
              <w:pStyle w:val="ColorfulList-Accent11"/>
              <w:tabs>
                <w:tab w:val="left" w:pos="0"/>
                <w:tab w:val="left" w:pos="284"/>
              </w:tabs>
              <w:ind w:left="0" w:right="-90"/>
              <w:rPr>
                <w:rFonts w:ascii="Arial" w:hAnsi="Arial" w:cs="Arial"/>
                <w:b/>
                <w:i/>
                <w:color w:val="000000" w:themeColor="text1"/>
              </w:rPr>
            </w:pPr>
            <w:r w:rsidRPr="000E74C4">
              <w:rPr>
                <w:rFonts w:ascii="Arial" w:hAnsi="Arial" w:cs="Arial"/>
                <w:b/>
                <w:bCs/>
                <w:i/>
              </w:rPr>
              <w:t>Περιθώριο (%)</w:t>
            </w:r>
          </w:p>
        </w:tc>
        <w:tc>
          <w:tcPr>
            <w:tcW w:w="1045"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D8E5315" w14:textId="23F4133C"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2,2%</w:t>
            </w:r>
          </w:p>
        </w:tc>
        <w:tc>
          <w:tcPr>
            <w:tcW w:w="1085" w:type="dxa"/>
            <w:tcBorders>
              <w:top w:val="nil"/>
              <w:left w:val="nil"/>
              <w:bottom w:val="single" w:sz="2" w:space="0" w:color="808080" w:themeColor="background1" w:themeShade="80"/>
              <w:right w:val="nil"/>
            </w:tcBorders>
            <w:shd w:val="clear" w:color="auto" w:fill="F2F2F2" w:themeFill="background1" w:themeFillShade="F2"/>
            <w:vAlign w:val="center"/>
          </w:tcPr>
          <w:p w14:paraId="18162E7D" w14:textId="4735A114"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5,3%</w:t>
            </w:r>
          </w:p>
        </w:tc>
        <w:tc>
          <w:tcPr>
            <w:tcW w:w="1167"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022D6E" w14:textId="6C570094"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-3,1</w:t>
            </w:r>
            <w:r w:rsidRPr="000E74C4">
              <w:rPr>
                <w:rFonts w:ascii="Arial" w:hAnsi="Arial" w:cs="Arial"/>
                <w:b/>
                <w:bCs/>
                <w:i/>
                <w:iCs/>
                <w:lang w:val="el-GR"/>
              </w:rPr>
              <w:t xml:space="preserve"> μον</w:t>
            </w:r>
          </w:p>
        </w:tc>
        <w:tc>
          <w:tcPr>
            <w:tcW w:w="116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C959B65" w14:textId="33C83D61"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0,4%</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527741A4" w14:textId="01F90F58"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5,9%</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441E0326" w14:textId="6653420E"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-5,5</w:t>
            </w:r>
            <w:r w:rsidRPr="000E74C4">
              <w:rPr>
                <w:rFonts w:ascii="Arial" w:hAnsi="Arial" w:cs="Arial"/>
                <w:b/>
                <w:bCs/>
                <w:i/>
                <w:iCs/>
                <w:lang w:val="el-GR"/>
              </w:rPr>
              <w:t>μον</w:t>
            </w:r>
          </w:p>
        </w:tc>
      </w:tr>
    </w:tbl>
    <w:p w14:paraId="5E42365B" w14:textId="77777777" w:rsidR="006E2154" w:rsidRDefault="006E2154" w:rsidP="00B31BA6">
      <w:pPr>
        <w:rPr>
          <w:rFonts w:ascii="Arial" w:hAnsi="Arial" w:cs="Arial"/>
          <w:b/>
          <w:sz w:val="24"/>
          <w:szCs w:val="24"/>
        </w:rPr>
      </w:pPr>
    </w:p>
    <w:p w14:paraId="53A54EBC" w14:textId="093177AE" w:rsidR="00E9471B" w:rsidRPr="00293F04" w:rsidRDefault="009E285A" w:rsidP="00D03A28">
      <w:pPr>
        <w:spacing w:line="280" w:lineRule="exact"/>
        <w:jc w:val="both"/>
        <w:rPr>
          <w:rFonts w:ascii="Arial" w:eastAsia="Times New Roman" w:hAnsi="Arial" w:cs="Arial"/>
          <w:szCs w:val="20"/>
        </w:rPr>
      </w:pPr>
      <w:r w:rsidRPr="00293F04">
        <w:rPr>
          <w:rFonts w:ascii="Arial" w:eastAsia="Times New Roman" w:hAnsi="Arial" w:cs="Arial"/>
          <w:b/>
          <w:szCs w:val="20"/>
        </w:rPr>
        <w:t>Τα συνολικά έσοδα</w:t>
      </w:r>
      <w:r w:rsidRPr="00293F04">
        <w:rPr>
          <w:rFonts w:ascii="Arial" w:eastAsia="Times New Roman" w:hAnsi="Arial" w:cs="Arial"/>
          <w:szCs w:val="20"/>
        </w:rPr>
        <w:t xml:space="preserve"> της </w:t>
      </w:r>
      <w:r w:rsidRPr="00733755">
        <w:rPr>
          <w:rFonts w:ascii="Arial" w:eastAsia="Times New Roman" w:hAnsi="Arial" w:cs="Arial"/>
          <w:szCs w:val="20"/>
          <w:lang w:val="en-US"/>
        </w:rPr>
        <w:t>Telekom</w:t>
      </w:r>
      <w:r w:rsidRPr="00293F04">
        <w:rPr>
          <w:rFonts w:ascii="Arial" w:eastAsia="Times New Roman" w:hAnsi="Arial" w:cs="Arial"/>
          <w:szCs w:val="20"/>
        </w:rPr>
        <w:t xml:space="preserve"> </w:t>
      </w:r>
      <w:r w:rsidRPr="00733755">
        <w:rPr>
          <w:rFonts w:ascii="Arial" w:eastAsia="Times New Roman" w:hAnsi="Arial" w:cs="Arial"/>
          <w:szCs w:val="20"/>
          <w:lang w:val="en-US"/>
        </w:rPr>
        <w:t>Romania</w:t>
      </w:r>
      <w:r w:rsidRPr="00293F04">
        <w:rPr>
          <w:rFonts w:ascii="Arial" w:eastAsia="Times New Roman" w:hAnsi="Arial" w:cs="Arial"/>
          <w:szCs w:val="20"/>
        </w:rPr>
        <w:t xml:space="preserve"> </w:t>
      </w:r>
      <w:r w:rsidRPr="00733755">
        <w:rPr>
          <w:rFonts w:ascii="Arial" w:eastAsia="Times New Roman" w:hAnsi="Arial" w:cs="Arial"/>
          <w:szCs w:val="20"/>
          <w:lang w:val="en-US"/>
        </w:rPr>
        <w:t>Mobile</w:t>
      </w:r>
      <w:r w:rsidRPr="00293F04">
        <w:rPr>
          <w:rFonts w:ascii="Arial" w:eastAsia="Times New Roman" w:hAnsi="Arial" w:cs="Arial"/>
          <w:szCs w:val="20"/>
        </w:rPr>
        <w:t xml:space="preserve"> </w:t>
      </w:r>
      <w:r w:rsidR="009166EC" w:rsidRPr="00293F04">
        <w:rPr>
          <w:rFonts w:ascii="Arial" w:eastAsia="Times New Roman" w:hAnsi="Arial" w:cs="Arial"/>
          <w:szCs w:val="20"/>
        </w:rPr>
        <w:t>(</w:t>
      </w:r>
      <w:r w:rsidR="009166EC" w:rsidRPr="00733755">
        <w:rPr>
          <w:rFonts w:ascii="Arial" w:eastAsia="Times New Roman" w:hAnsi="Arial" w:cs="Arial"/>
          <w:szCs w:val="20"/>
          <w:lang w:val="en-US"/>
        </w:rPr>
        <w:t>TKRM</w:t>
      </w:r>
      <w:r w:rsidR="009166EC" w:rsidRPr="00293F04">
        <w:rPr>
          <w:rFonts w:ascii="Arial" w:eastAsia="Times New Roman" w:hAnsi="Arial" w:cs="Arial"/>
          <w:szCs w:val="20"/>
        </w:rPr>
        <w:t>)</w:t>
      </w:r>
      <w:r w:rsidRPr="00293F04">
        <w:rPr>
          <w:rFonts w:ascii="Arial" w:eastAsia="Times New Roman" w:hAnsi="Arial" w:cs="Arial"/>
          <w:szCs w:val="20"/>
        </w:rPr>
        <w:t xml:space="preserve"> διαμορφώθηκαν σε €</w:t>
      </w:r>
      <w:r w:rsidR="00F84FA7" w:rsidRPr="00293F04">
        <w:rPr>
          <w:rFonts w:ascii="Arial" w:eastAsia="Times New Roman" w:hAnsi="Arial" w:cs="Arial"/>
          <w:szCs w:val="20"/>
        </w:rPr>
        <w:t>6</w:t>
      </w:r>
      <w:r w:rsidR="001A040F" w:rsidRPr="00293F04">
        <w:rPr>
          <w:rFonts w:ascii="Arial" w:eastAsia="Times New Roman" w:hAnsi="Arial" w:cs="Arial"/>
          <w:szCs w:val="20"/>
        </w:rPr>
        <w:t>4</w:t>
      </w:r>
      <w:r w:rsidRPr="00293F04">
        <w:rPr>
          <w:rFonts w:ascii="Arial" w:eastAsia="Times New Roman" w:hAnsi="Arial" w:cs="Arial"/>
          <w:szCs w:val="20"/>
        </w:rPr>
        <w:t xml:space="preserve"> εκατ. στο τρίμηνο, </w:t>
      </w:r>
      <w:r w:rsidR="00F84FA7" w:rsidRPr="00293F04">
        <w:rPr>
          <w:rFonts w:ascii="Arial" w:eastAsia="Times New Roman" w:hAnsi="Arial" w:cs="Arial"/>
          <w:szCs w:val="20"/>
        </w:rPr>
        <w:t>μειωμένα</w:t>
      </w:r>
      <w:r w:rsidRPr="00293F04">
        <w:rPr>
          <w:rFonts w:ascii="Arial" w:eastAsia="Times New Roman" w:hAnsi="Arial" w:cs="Arial"/>
          <w:szCs w:val="20"/>
        </w:rPr>
        <w:t xml:space="preserve"> κατά </w:t>
      </w:r>
      <w:r w:rsidR="001A040F" w:rsidRPr="00293F04">
        <w:rPr>
          <w:rFonts w:ascii="Arial" w:eastAsia="Times New Roman" w:hAnsi="Arial" w:cs="Arial"/>
          <w:szCs w:val="20"/>
        </w:rPr>
        <w:t>17,4</w:t>
      </w:r>
      <w:r w:rsidRPr="00293F04">
        <w:rPr>
          <w:rFonts w:ascii="Arial" w:eastAsia="Times New Roman" w:hAnsi="Arial" w:cs="Arial"/>
          <w:szCs w:val="20"/>
        </w:rPr>
        <w:t xml:space="preserve">% σε σύγκριση με την αντίστοιχη περίοδο του </w:t>
      </w:r>
      <w:r w:rsidR="00E9471B" w:rsidRPr="00293F04">
        <w:rPr>
          <w:rFonts w:ascii="Arial" w:eastAsia="Times New Roman" w:hAnsi="Arial" w:cs="Arial"/>
          <w:szCs w:val="20"/>
        </w:rPr>
        <w:t>2023</w:t>
      </w:r>
      <w:r w:rsidR="0020553F" w:rsidRPr="00293F04">
        <w:rPr>
          <w:rFonts w:ascii="Arial" w:eastAsia="Times New Roman" w:hAnsi="Arial" w:cs="Arial"/>
          <w:szCs w:val="20"/>
        </w:rPr>
        <w:t xml:space="preserve">. Τα έσοδα από υπηρεσίες κινητής επηρεάστηκαν από </w:t>
      </w:r>
      <w:r w:rsidR="002E7C3F" w:rsidRPr="00293F04">
        <w:rPr>
          <w:rFonts w:ascii="Arial" w:eastAsia="Times New Roman" w:hAnsi="Arial" w:cs="Arial"/>
          <w:szCs w:val="20"/>
        </w:rPr>
        <w:t>το δύσκολο ανταγωνιστικό περιβάλλον, καθώς και από</w:t>
      </w:r>
      <w:r w:rsidR="00EA3416" w:rsidRPr="00293F04">
        <w:rPr>
          <w:rFonts w:ascii="Arial" w:eastAsia="Times New Roman" w:hAnsi="Arial" w:cs="Arial"/>
          <w:szCs w:val="20"/>
        </w:rPr>
        <w:t xml:space="preserve"> τη μείωση στα τέλη τερματισμού</w:t>
      </w:r>
      <w:r w:rsidR="00DD5E2E" w:rsidRPr="00DD5E2E">
        <w:rPr>
          <w:rFonts w:ascii="Arial" w:eastAsia="Times New Roman" w:hAnsi="Arial" w:cs="Arial"/>
          <w:szCs w:val="20"/>
        </w:rPr>
        <w:t xml:space="preserve">. </w:t>
      </w:r>
      <w:r w:rsidR="002032C6">
        <w:rPr>
          <w:rFonts w:ascii="Arial" w:eastAsia="Times New Roman" w:hAnsi="Arial" w:cs="Arial"/>
          <w:szCs w:val="20"/>
        </w:rPr>
        <w:t xml:space="preserve"> </w:t>
      </w:r>
      <w:r w:rsidR="009537E7">
        <w:rPr>
          <w:rFonts w:ascii="Arial" w:eastAsia="Times New Roman" w:hAnsi="Arial" w:cs="Arial"/>
          <w:szCs w:val="20"/>
        </w:rPr>
        <w:t>Η</w:t>
      </w:r>
      <w:r w:rsidR="005375DA" w:rsidRPr="00293F04">
        <w:rPr>
          <w:rFonts w:ascii="Arial" w:eastAsia="Times New Roman" w:hAnsi="Arial" w:cs="Arial"/>
          <w:szCs w:val="20"/>
        </w:rPr>
        <w:t xml:space="preserve"> μείωση </w:t>
      </w:r>
      <w:r w:rsidR="002032C6">
        <w:rPr>
          <w:rFonts w:ascii="Arial" w:eastAsia="Times New Roman" w:hAnsi="Arial" w:cs="Arial"/>
          <w:szCs w:val="20"/>
        </w:rPr>
        <w:t xml:space="preserve">κατά </w:t>
      </w:r>
      <w:r w:rsidR="005375DA" w:rsidRPr="00293F04">
        <w:rPr>
          <w:rFonts w:ascii="Arial" w:eastAsia="Times New Roman" w:hAnsi="Arial" w:cs="Arial"/>
          <w:szCs w:val="20"/>
        </w:rPr>
        <w:t xml:space="preserve">50% στα τέλη τερματισμού είναι σε ισχύ από τις αρχές του 2024. </w:t>
      </w:r>
      <w:r w:rsidR="001A040F" w:rsidRPr="00293F04">
        <w:rPr>
          <w:rFonts w:ascii="Arial" w:eastAsia="Times New Roman" w:hAnsi="Arial" w:cs="Arial"/>
          <w:szCs w:val="20"/>
        </w:rPr>
        <w:t xml:space="preserve">Επιπλέον το αντίστοιχο συγκρίσιμο τρίμηνο του 2023 περιλαμβάνει έσοδα €5 εκατ. από υπηρεσίες </w:t>
      </w:r>
      <w:r w:rsidR="001A040F">
        <w:rPr>
          <w:rFonts w:ascii="Arial" w:eastAsia="Times New Roman" w:hAnsi="Arial" w:cs="Arial"/>
          <w:szCs w:val="20"/>
          <w:lang w:val="en-US"/>
        </w:rPr>
        <w:t>ICT</w:t>
      </w:r>
      <w:r w:rsidR="001A040F" w:rsidRPr="00293F04">
        <w:rPr>
          <w:rFonts w:ascii="Arial" w:eastAsia="Times New Roman" w:hAnsi="Arial" w:cs="Arial"/>
          <w:szCs w:val="20"/>
        </w:rPr>
        <w:t>.</w:t>
      </w:r>
      <w:r w:rsidR="00BD7A6E" w:rsidRPr="004F331D">
        <w:rPr>
          <w:rFonts w:ascii="Arial" w:eastAsia="Times New Roman" w:hAnsi="Arial" w:cs="Arial"/>
          <w:szCs w:val="20"/>
        </w:rPr>
        <w:t xml:space="preserve"> </w:t>
      </w:r>
      <w:r w:rsidR="00BD7A6E">
        <w:rPr>
          <w:rFonts w:ascii="Arial" w:hAnsi="Arial" w:cs="Arial"/>
        </w:rPr>
        <w:t xml:space="preserve">Εξαιρουμένης της επίδρασης από τα τέλη τερματισμού και τις υπηρεσίες </w:t>
      </w:r>
      <w:r w:rsidR="00BD7A6E">
        <w:rPr>
          <w:rFonts w:ascii="Arial" w:hAnsi="Arial" w:cs="Arial"/>
          <w:lang w:val="en-US"/>
        </w:rPr>
        <w:t>ICT</w:t>
      </w:r>
      <w:r w:rsidR="00BD7A6E" w:rsidRPr="004F331D">
        <w:rPr>
          <w:rFonts w:ascii="Arial" w:hAnsi="Arial" w:cs="Arial"/>
        </w:rPr>
        <w:t xml:space="preserve">, </w:t>
      </w:r>
      <w:r w:rsidR="00BD7A6E">
        <w:rPr>
          <w:rFonts w:ascii="Arial" w:hAnsi="Arial" w:cs="Arial"/>
        </w:rPr>
        <w:t xml:space="preserve">τα συνολικά έσοδα θα ήταν μειωμένα περίπου </w:t>
      </w:r>
      <w:r w:rsidR="00BD7A6E" w:rsidRPr="00293F04">
        <w:rPr>
          <w:rFonts w:ascii="Arial" w:eastAsia="Times New Roman" w:hAnsi="Arial" w:cs="Arial"/>
          <w:szCs w:val="20"/>
        </w:rPr>
        <w:t>€</w:t>
      </w:r>
      <w:r w:rsidR="00BD7A6E">
        <w:rPr>
          <w:rFonts w:ascii="Arial" w:eastAsia="Times New Roman" w:hAnsi="Arial" w:cs="Arial"/>
          <w:szCs w:val="20"/>
        </w:rPr>
        <w:t>6</w:t>
      </w:r>
      <w:r w:rsidR="00BD7A6E" w:rsidRPr="00293F04">
        <w:rPr>
          <w:rFonts w:ascii="Arial" w:eastAsia="Times New Roman" w:hAnsi="Arial" w:cs="Arial"/>
          <w:szCs w:val="20"/>
        </w:rPr>
        <w:t xml:space="preserve"> εκατ.</w:t>
      </w:r>
      <w:r w:rsidR="00BD7A6E">
        <w:rPr>
          <w:rFonts w:ascii="Arial" w:eastAsia="Times New Roman" w:hAnsi="Arial" w:cs="Arial"/>
          <w:szCs w:val="20"/>
        </w:rPr>
        <w:t xml:space="preserve"> ή 9,5%.</w:t>
      </w:r>
      <w:r w:rsidR="00CF2C72" w:rsidRPr="006647BE">
        <w:rPr>
          <w:rFonts w:ascii="Arial" w:eastAsia="Times New Roman" w:hAnsi="Arial" w:cs="Arial"/>
          <w:szCs w:val="20"/>
        </w:rPr>
        <w:t>Οι θετικές προσθήκες πελατών συμβολαίου συνεχίζονται</w:t>
      </w:r>
      <w:r w:rsidR="00CD5F8E" w:rsidRPr="006647BE">
        <w:rPr>
          <w:rFonts w:ascii="Arial" w:eastAsia="Times New Roman" w:hAnsi="Arial" w:cs="Arial"/>
          <w:szCs w:val="20"/>
        </w:rPr>
        <w:t>, με</w:t>
      </w:r>
      <w:r w:rsidR="00633759" w:rsidRPr="006647BE">
        <w:rPr>
          <w:rFonts w:ascii="Arial" w:eastAsia="Times New Roman" w:hAnsi="Arial" w:cs="Arial"/>
          <w:szCs w:val="20"/>
        </w:rPr>
        <w:t xml:space="preserve"> </w:t>
      </w:r>
      <w:r w:rsidR="00CD5F8E" w:rsidRPr="006647BE">
        <w:rPr>
          <w:rFonts w:ascii="Arial" w:eastAsia="Times New Roman" w:hAnsi="Arial" w:cs="Arial"/>
          <w:szCs w:val="20"/>
        </w:rPr>
        <w:t>τ</w:t>
      </w:r>
      <w:r w:rsidR="00633759" w:rsidRPr="006647BE">
        <w:rPr>
          <w:rFonts w:ascii="Arial" w:eastAsia="Times New Roman" w:hAnsi="Arial" w:cs="Arial"/>
          <w:szCs w:val="20"/>
        </w:rPr>
        <w:t>η</w:t>
      </w:r>
      <w:r w:rsidR="00CD5F8E" w:rsidRPr="006647BE">
        <w:rPr>
          <w:rFonts w:ascii="Arial" w:eastAsia="Times New Roman" w:hAnsi="Arial" w:cs="Arial"/>
          <w:szCs w:val="20"/>
        </w:rPr>
        <w:t>ν</w:t>
      </w:r>
      <w:r w:rsidR="00633759" w:rsidRPr="006647BE">
        <w:rPr>
          <w:rFonts w:ascii="Arial" w:eastAsia="Times New Roman" w:hAnsi="Arial" w:cs="Arial"/>
          <w:szCs w:val="20"/>
        </w:rPr>
        <w:t xml:space="preserve"> κινητή Ρουμανίας </w:t>
      </w:r>
      <w:r w:rsidR="00CD5F8E" w:rsidRPr="006647BE">
        <w:rPr>
          <w:rFonts w:ascii="Arial" w:eastAsia="Times New Roman" w:hAnsi="Arial" w:cs="Arial"/>
          <w:szCs w:val="20"/>
        </w:rPr>
        <w:t>να πετυχαίνει</w:t>
      </w:r>
      <w:r w:rsidR="00E15418" w:rsidRPr="006647BE">
        <w:rPr>
          <w:rFonts w:ascii="Arial" w:eastAsia="Times New Roman" w:hAnsi="Arial" w:cs="Arial"/>
          <w:szCs w:val="20"/>
        </w:rPr>
        <w:t xml:space="preserve"> </w:t>
      </w:r>
      <w:r w:rsidR="00633759" w:rsidRPr="006647BE">
        <w:rPr>
          <w:rFonts w:ascii="Arial" w:eastAsia="Times New Roman" w:hAnsi="Arial" w:cs="Arial"/>
          <w:szCs w:val="20"/>
        </w:rPr>
        <w:lastRenderedPageBreak/>
        <w:t xml:space="preserve">αύξηση </w:t>
      </w:r>
      <w:r w:rsidR="00B37FCB" w:rsidRPr="00B37FCB">
        <w:rPr>
          <w:rFonts w:ascii="Arial" w:eastAsia="Times New Roman" w:hAnsi="Arial" w:cs="Arial"/>
          <w:szCs w:val="20"/>
        </w:rPr>
        <w:t>2,</w:t>
      </w:r>
      <w:r w:rsidR="00B37FCB" w:rsidRPr="00D9304A">
        <w:rPr>
          <w:rFonts w:ascii="Arial" w:eastAsia="Times New Roman" w:hAnsi="Arial" w:cs="Arial"/>
          <w:szCs w:val="20"/>
        </w:rPr>
        <w:t>7</w:t>
      </w:r>
      <w:r w:rsidR="00633759" w:rsidRPr="006647BE">
        <w:rPr>
          <w:rFonts w:ascii="Arial" w:eastAsia="Times New Roman" w:hAnsi="Arial" w:cs="Arial"/>
          <w:szCs w:val="20"/>
        </w:rPr>
        <w:t>% ετησίως</w:t>
      </w:r>
      <w:r w:rsidR="002032C6" w:rsidRPr="002032C6">
        <w:rPr>
          <w:rFonts w:ascii="Arial" w:eastAsia="Times New Roman" w:hAnsi="Arial" w:cs="Arial"/>
          <w:szCs w:val="20"/>
        </w:rPr>
        <w:t xml:space="preserve"> </w:t>
      </w:r>
      <w:r w:rsidR="002032C6">
        <w:rPr>
          <w:rFonts w:ascii="Arial" w:eastAsia="Times New Roman" w:hAnsi="Arial" w:cs="Arial"/>
          <w:szCs w:val="20"/>
        </w:rPr>
        <w:t xml:space="preserve">στους </w:t>
      </w:r>
      <w:r w:rsidR="002032C6" w:rsidRPr="006647BE">
        <w:rPr>
          <w:rFonts w:ascii="Arial" w:eastAsia="Times New Roman" w:hAnsi="Arial" w:cs="Arial"/>
          <w:szCs w:val="20"/>
        </w:rPr>
        <w:t>συνδρομητές συμβολαίου</w:t>
      </w:r>
      <w:r w:rsidR="00633759" w:rsidRPr="006647BE">
        <w:rPr>
          <w:rFonts w:ascii="Arial" w:eastAsia="Times New Roman" w:hAnsi="Arial" w:cs="Arial"/>
          <w:szCs w:val="20"/>
        </w:rPr>
        <w:t xml:space="preserve">,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1,9</w:t>
      </w:r>
      <w:r w:rsidR="00D9304A" w:rsidRPr="00D9304A">
        <w:rPr>
          <w:rFonts w:ascii="Arial" w:eastAsia="Times New Roman" w:hAnsi="Arial" w:cs="Arial"/>
          <w:szCs w:val="20"/>
        </w:rPr>
        <w:t>7</w:t>
      </w:r>
      <w:r w:rsidR="00633759" w:rsidRPr="006647BE">
        <w:rPr>
          <w:rFonts w:ascii="Arial" w:eastAsia="Times New Roman" w:hAnsi="Arial" w:cs="Arial"/>
          <w:szCs w:val="20"/>
        </w:rPr>
        <w:t xml:space="preserve"> εκατομμύρια. </w:t>
      </w:r>
      <w:r w:rsidR="00633759" w:rsidRPr="00293F04">
        <w:rPr>
          <w:rFonts w:ascii="Arial" w:eastAsia="Times New Roman" w:hAnsi="Arial" w:cs="Arial"/>
          <w:szCs w:val="20"/>
        </w:rPr>
        <w:t xml:space="preserve">Οι συνολικές καθαρές προσθήκες </w:t>
      </w:r>
      <w:r w:rsidR="002032C6">
        <w:rPr>
          <w:rFonts w:ascii="Arial" w:eastAsia="Times New Roman" w:hAnsi="Arial" w:cs="Arial"/>
          <w:szCs w:val="20"/>
        </w:rPr>
        <w:t>πελατών</w:t>
      </w:r>
      <w:r w:rsidR="002032C6" w:rsidRPr="00293F04">
        <w:rPr>
          <w:rFonts w:ascii="Arial" w:eastAsia="Times New Roman" w:hAnsi="Arial" w:cs="Arial"/>
          <w:szCs w:val="20"/>
        </w:rPr>
        <w:t xml:space="preserve"> </w:t>
      </w:r>
      <w:r w:rsidR="00633759" w:rsidRPr="00293F04">
        <w:rPr>
          <w:rFonts w:ascii="Arial" w:eastAsia="Times New Roman" w:hAnsi="Arial" w:cs="Arial"/>
          <w:szCs w:val="20"/>
        </w:rPr>
        <w:t xml:space="preserve">το τρίμηνο ανήλθαν στις </w:t>
      </w:r>
      <w:r w:rsidR="00776DD0" w:rsidRPr="00293F04">
        <w:rPr>
          <w:rFonts w:ascii="Arial" w:eastAsia="Times New Roman" w:hAnsi="Arial" w:cs="Arial"/>
          <w:szCs w:val="20"/>
        </w:rPr>
        <w:t>9</w:t>
      </w:r>
      <w:r w:rsidR="00633759" w:rsidRPr="00293F04">
        <w:rPr>
          <w:rFonts w:ascii="Arial" w:eastAsia="Times New Roman" w:hAnsi="Arial" w:cs="Arial"/>
          <w:szCs w:val="20"/>
        </w:rPr>
        <w:t xml:space="preserve"> χιλιάδες. </w:t>
      </w:r>
    </w:p>
    <w:p w14:paraId="3A740704" w14:textId="2582FF8B" w:rsidR="00A2678C" w:rsidRPr="000C6CD7" w:rsidRDefault="00B822E5" w:rsidP="00D03A28">
      <w:pPr>
        <w:spacing w:line="280" w:lineRule="exact"/>
        <w:jc w:val="both"/>
        <w:rPr>
          <w:rFonts w:ascii="Arial" w:hAnsi="Arial" w:cs="Arial"/>
          <w:color w:val="000000" w:themeColor="text1"/>
        </w:rPr>
      </w:pPr>
      <w:r w:rsidRPr="00293F04">
        <w:rPr>
          <w:rFonts w:ascii="Arial" w:eastAsia="Times New Roman" w:hAnsi="Arial" w:cs="Arial"/>
          <w:szCs w:val="20"/>
        </w:rPr>
        <w:t xml:space="preserve">Τον Οκτώβριο του 2024, η φορολογική αρχή της Ρουμανίας επέβαλε στην </w:t>
      </w:r>
      <w:r w:rsidRPr="00D03A28">
        <w:rPr>
          <w:rFonts w:ascii="Arial" w:eastAsia="Times New Roman" w:hAnsi="Arial" w:cs="Arial"/>
          <w:szCs w:val="20"/>
          <w:lang w:val="en-US"/>
        </w:rPr>
        <w:t>Telekom</w:t>
      </w:r>
      <w:r w:rsidRPr="00293F04">
        <w:rPr>
          <w:rFonts w:ascii="Arial" w:eastAsia="Times New Roman" w:hAnsi="Arial" w:cs="Arial"/>
          <w:szCs w:val="20"/>
        </w:rPr>
        <w:t xml:space="preserve"> </w:t>
      </w:r>
      <w:r w:rsidRPr="00D03A28">
        <w:rPr>
          <w:rFonts w:ascii="Arial" w:eastAsia="Times New Roman" w:hAnsi="Arial" w:cs="Arial"/>
          <w:szCs w:val="20"/>
          <w:lang w:val="en-US"/>
        </w:rPr>
        <w:t>Romania</w:t>
      </w:r>
      <w:r w:rsidRPr="00293F04">
        <w:rPr>
          <w:rFonts w:ascii="Arial" w:eastAsia="Times New Roman" w:hAnsi="Arial" w:cs="Arial"/>
          <w:szCs w:val="20"/>
        </w:rPr>
        <w:t xml:space="preserve"> </w:t>
      </w:r>
      <w:r w:rsidRPr="00D03A28">
        <w:rPr>
          <w:rFonts w:ascii="Arial" w:eastAsia="Times New Roman" w:hAnsi="Arial" w:cs="Arial"/>
          <w:szCs w:val="20"/>
          <w:lang w:val="en-US"/>
        </w:rPr>
        <w:t>Mobile</w:t>
      </w:r>
      <w:r w:rsidRPr="00293F04">
        <w:rPr>
          <w:rFonts w:ascii="Arial" w:eastAsia="Times New Roman" w:hAnsi="Arial" w:cs="Arial"/>
          <w:szCs w:val="20"/>
        </w:rPr>
        <w:t xml:space="preserve"> (</w:t>
      </w:r>
      <w:r w:rsidRPr="00D03A28">
        <w:rPr>
          <w:rFonts w:ascii="Arial" w:eastAsia="Times New Roman" w:hAnsi="Arial" w:cs="Arial"/>
          <w:szCs w:val="20"/>
          <w:lang w:val="en-US"/>
        </w:rPr>
        <w:t>TKRM</w:t>
      </w:r>
      <w:r w:rsidRPr="00293F04">
        <w:rPr>
          <w:rFonts w:ascii="Arial" w:eastAsia="Times New Roman" w:hAnsi="Arial" w:cs="Arial"/>
          <w:szCs w:val="20"/>
        </w:rPr>
        <w:t xml:space="preserve">) €33,5 εκατ. πρόσθετες φορολογικές επιβαρύνσεις στο πλαίσιο ελέγχου των οικονομικών χρήσεων 2017-2021. </w:t>
      </w:r>
      <w:r w:rsidRPr="00D755A3">
        <w:rPr>
          <w:rFonts w:ascii="Arial" w:eastAsia="Times New Roman" w:hAnsi="Arial" w:cs="Arial"/>
          <w:szCs w:val="20"/>
        </w:rPr>
        <w:t xml:space="preserve">Το ποσό αυτό </w:t>
      </w:r>
      <w:r w:rsidR="00A2678C" w:rsidRPr="00D755A3">
        <w:rPr>
          <w:rFonts w:ascii="Arial" w:eastAsia="Times New Roman" w:hAnsi="Arial" w:cs="Arial"/>
          <w:szCs w:val="20"/>
        </w:rPr>
        <w:t>δεν επηρεάζει τ</w:t>
      </w:r>
      <w:r w:rsidR="0083390F">
        <w:rPr>
          <w:rFonts w:ascii="Arial" w:eastAsia="Times New Roman" w:hAnsi="Arial" w:cs="Arial"/>
          <w:szCs w:val="20"/>
        </w:rPr>
        <w:t>α</w:t>
      </w:r>
      <w:r w:rsidR="00A2678C" w:rsidRPr="00D755A3">
        <w:rPr>
          <w:rFonts w:ascii="Arial" w:eastAsia="Times New Roman" w:hAnsi="Arial" w:cs="Arial"/>
          <w:szCs w:val="20"/>
        </w:rPr>
        <w:t xml:space="preserve"> Προσαρμοσμέν</w:t>
      </w:r>
      <w:r w:rsidR="0083390F">
        <w:rPr>
          <w:rFonts w:ascii="Arial" w:eastAsia="Times New Roman" w:hAnsi="Arial" w:cs="Arial"/>
          <w:szCs w:val="20"/>
        </w:rPr>
        <w:t>α</w:t>
      </w:r>
      <w:r w:rsidR="00A2678C" w:rsidRPr="00D755A3">
        <w:rPr>
          <w:rFonts w:ascii="Arial" w:eastAsia="Times New Roman" w:hAnsi="Arial" w:cs="Arial"/>
          <w:szCs w:val="20"/>
        </w:rPr>
        <w:t xml:space="preserve"> </w:t>
      </w:r>
      <w:r w:rsidR="0083390F">
        <w:rPr>
          <w:rFonts w:ascii="Arial" w:eastAsia="Times New Roman" w:hAnsi="Arial" w:cs="Arial"/>
          <w:szCs w:val="20"/>
        </w:rPr>
        <w:t>μεγέθη</w:t>
      </w:r>
      <w:r w:rsidR="00F415F9">
        <w:rPr>
          <w:rFonts w:ascii="Arial" w:eastAsia="Times New Roman" w:hAnsi="Arial" w:cs="Arial"/>
          <w:szCs w:val="20"/>
        </w:rPr>
        <w:t xml:space="preserve"> </w:t>
      </w:r>
      <w:r w:rsidR="00A2678C" w:rsidRPr="00D755A3">
        <w:rPr>
          <w:rFonts w:ascii="Arial" w:eastAsia="Times New Roman" w:hAnsi="Arial" w:cs="Arial"/>
          <w:szCs w:val="20"/>
        </w:rPr>
        <w:t xml:space="preserve">(βλ. </w:t>
      </w:r>
      <w:r w:rsidR="00A2678C" w:rsidRPr="00787EE2">
        <w:rPr>
          <w:rFonts w:ascii="Arial" w:eastAsia="Times New Roman" w:hAnsi="Arial" w:cs="Arial"/>
          <w:szCs w:val="20"/>
        </w:rPr>
        <w:t>Εναλλακτικούς Δείκτες Μέτρησης Απόδοσης</w:t>
      </w:r>
      <w:r w:rsidR="00A2678C">
        <w:rPr>
          <w:rFonts w:ascii="Arial" w:hAnsi="Arial" w:cs="Arial"/>
          <w:color w:val="000000" w:themeColor="text1"/>
        </w:rPr>
        <w:t>)</w:t>
      </w:r>
      <w:r w:rsidR="00DA0E47">
        <w:rPr>
          <w:rFonts w:ascii="Arial" w:hAnsi="Arial" w:cs="Arial"/>
          <w:color w:val="000000" w:themeColor="text1"/>
        </w:rPr>
        <w:t>.</w:t>
      </w:r>
    </w:p>
    <w:p w14:paraId="041F3725" w14:textId="0B7E95D8" w:rsidR="00A6742C" w:rsidRDefault="00DA1FCA" w:rsidP="00D03A28">
      <w:pPr>
        <w:spacing w:line="280" w:lineRule="exact"/>
        <w:jc w:val="both"/>
        <w:rPr>
          <w:rFonts w:ascii="Arial" w:eastAsia="Times New Roman" w:hAnsi="Arial" w:cs="Arial"/>
          <w:szCs w:val="20"/>
        </w:rPr>
      </w:pPr>
      <w:r w:rsidRPr="00A31E8E">
        <w:rPr>
          <w:rFonts w:ascii="Arial" w:hAnsi="Arial" w:cs="Arial"/>
          <w:b/>
          <w:bCs/>
          <w:color w:val="000000" w:themeColor="text1"/>
        </w:rPr>
        <w:t>Το</w:t>
      </w:r>
      <w:r w:rsidRPr="00A31E8E" w:rsidDel="0012664C">
        <w:rPr>
          <w:rFonts w:ascii="Arial" w:hAnsi="Arial" w:cs="Arial"/>
          <w:b/>
          <w:bCs/>
          <w:color w:val="000000" w:themeColor="text1"/>
        </w:rPr>
        <w:t xml:space="preserve"> </w:t>
      </w:r>
      <w:r w:rsidRPr="00A31E8E">
        <w:rPr>
          <w:rFonts w:ascii="Arial" w:hAnsi="Arial" w:cs="Arial"/>
          <w:b/>
          <w:bCs/>
          <w:color w:val="000000" w:themeColor="text1"/>
        </w:rPr>
        <w:t>προσαρμοσμένο EBITDA</w:t>
      </w:r>
      <w:r w:rsidRPr="00A31E8E" w:rsidDel="00184804">
        <w:rPr>
          <w:rFonts w:ascii="Arial" w:hAnsi="Arial" w:cs="Arial"/>
          <w:b/>
          <w:bCs/>
          <w:color w:val="000000" w:themeColor="text1"/>
        </w:rPr>
        <w:t xml:space="preserve"> </w:t>
      </w:r>
      <w:r w:rsidRPr="00A31E8E">
        <w:rPr>
          <w:rFonts w:ascii="Arial" w:hAnsi="Arial" w:cs="Arial"/>
          <w:b/>
          <w:bCs/>
          <w:color w:val="000000" w:themeColor="text1"/>
        </w:rPr>
        <w:t>(AL)</w:t>
      </w:r>
      <w:r w:rsidR="00A81DEC">
        <w:rPr>
          <w:rFonts w:ascii="Arial" w:hAnsi="Arial" w:cs="Arial"/>
          <w:b/>
          <w:color w:val="000000" w:themeColor="text1"/>
        </w:rPr>
        <w:t xml:space="preserve"> </w:t>
      </w:r>
      <w:r w:rsidR="00A81DEC">
        <w:rPr>
          <w:rFonts w:ascii="Arial" w:eastAsia="Times New Roman" w:hAnsi="Arial" w:cs="Arial"/>
          <w:szCs w:val="20"/>
        </w:rPr>
        <w:t>στην</w:t>
      </w:r>
      <w:r w:rsidR="009E285A" w:rsidRPr="006647BE">
        <w:rPr>
          <w:rFonts w:ascii="Arial" w:eastAsia="Times New Roman" w:hAnsi="Arial" w:cs="Arial"/>
          <w:szCs w:val="20"/>
        </w:rPr>
        <w:t xml:space="preserve"> </w:t>
      </w:r>
      <w:r w:rsidR="00473258" w:rsidRPr="006E2760">
        <w:rPr>
          <w:rFonts w:ascii="Arial" w:eastAsia="Times New Roman" w:hAnsi="Arial" w:cs="Arial"/>
          <w:szCs w:val="20"/>
        </w:rPr>
        <w:t>TKRM</w:t>
      </w:r>
      <w:r w:rsidR="009E285A" w:rsidRPr="006647BE">
        <w:rPr>
          <w:rFonts w:ascii="Arial" w:eastAsia="Times New Roman" w:hAnsi="Arial" w:cs="Arial"/>
          <w:szCs w:val="20"/>
        </w:rPr>
        <w:t xml:space="preserve"> </w:t>
      </w:r>
      <w:r w:rsidR="00D9304A">
        <w:rPr>
          <w:rFonts w:ascii="Arial" w:eastAsia="Times New Roman" w:hAnsi="Arial" w:cs="Arial"/>
          <w:szCs w:val="20"/>
        </w:rPr>
        <w:t>διαμορφώθηκε στα €1,4</w:t>
      </w:r>
      <w:r w:rsidR="00DA6778">
        <w:rPr>
          <w:rFonts w:ascii="Arial" w:eastAsia="Times New Roman" w:hAnsi="Arial" w:cs="Arial"/>
          <w:szCs w:val="20"/>
        </w:rPr>
        <w:t xml:space="preserve"> </w:t>
      </w:r>
      <w:r w:rsidR="00473258">
        <w:rPr>
          <w:rFonts w:ascii="Arial" w:eastAsia="Times New Roman" w:hAnsi="Arial" w:cs="Arial"/>
          <w:szCs w:val="20"/>
        </w:rPr>
        <w:t>εκατ.</w:t>
      </w:r>
      <w:r w:rsidR="00457554" w:rsidRPr="00D97C0D">
        <w:rPr>
          <w:rFonts w:ascii="Arial" w:eastAsia="Times New Roman" w:hAnsi="Arial" w:cs="Arial"/>
          <w:szCs w:val="20"/>
        </w:rPr>
        <w:t>,</w:t>
      </w:r>
      <w:r w:rsidR="00473258">
        <w:rPr>
          <w:rFonts w:ascii="Arial" w:eastAsia="Times New Roman" w:hAnsi="Arial" w:cs="Arial"/>
          <w:szCs w:val="20"/>
        </w:rPr>
        <w:t xml:space="preserve"> </w:t>
      </w:r>
      <w:r w:rsidR="0044254F">
        <w:rPr>
          <w:rFonts w:ascii="Arial" w:eastAsia="Times New Roman" w:hAnsi="Arial" w:cs="Arial"/>
          <w:szCs w:val="20"/>
        </w:rPr>
        <w:t>επηρεασμέν</w:t>
      </w:r>
      <w:r w:rsidR="002032C6">
        <w:rPr>
          <w:rFonts w:ascii="Arial" w:eastAsia="Times New Roman" w:hAnsi="Arial" w:cs="Arial"/>
          <w:szCs w:val="20"/>
        </w:rPr>
        <w:t>ο</w:t>
      </w:r>
      <w:r w:rsidR="00E35253" w:rsidRPr="00F04D68">
        <w:rPr>
          <w:rFonts w:ascii="Arial" w:eastAsia="Times New Roman" w:hAnsi="Arial" w:cs="Arial"/>
          <w:szCs w:val="20"/>
        </w:rPr>
        <w:t xml:space="preserve"> από πίεση στα έσοδα</w:t>
      </w:r>
      <w:r w:rsidR="002032C6">
        <w:rPr>
          <w:rFonts w:ascii="Arial" w:eastAsia="Times New Roman" w:hAnsi="Arial" w:cs="Arial"/>
          <w:szCs w:val="20"/>
        </w:rPr>
        <w:t>,</w:t>
      </w:r>
      <w:r w:rsidR="0072507F" w:rsidRPr="00F04D68">
        <w:rPr>
          <w:rFonts w:ascii="Arial" w:eastAsia="Times New Roman" w:hAnsi="Arial" w:cs="Arial"/>
          <w:szCs w:val="20"/>
        </w:rPr>
        <w:t xml:space="preserve"> </w:t>
      </w:r>
      <w:r w:rsidR="006E2760">
        <w:rPr>
          <w:rFonts w:ascii="Arial" w:eastAsia="Times New Roman" w:hAnsi="Arial" w:cs="Arial"/>
          <w:szCs w:val="20"/>
        </w:rPr>
        <w:t xml:space="preserve">καθώς και </w:t>
      </w:r>
      <w:r w:rsidR="006E2760" w:rsidRPr="006E2760">
        <w:rPr>
          <w:rFonts w:ascii="Arial" w:eastAsia="Times New Roman" w:hAnsi="Arial" w:cs="Arial"/>
          <w:szCs w:val="20"/>
        </w:rPr>
        <w:t xml:space="preserve">από τον νέο φόρο στα έσοδα που </w:t>
      </w:r>
      <w:r w:rsidR="002032C6">
        <w:rPr>
          <w:rFonts w:ascii="Arial" w:eastAsia="Times New Roman" w:hAnsi="Arial" w:cs="Arial"/>
          <w:szCs w:val="20"/>
        </w:rPr>
        <w:t>τέθηκε</w:t>
      </w:r>
      <w:r w:rsidR="002032C6" w:rsidRPr="006E2760">
        <w:rPr>
          <w:rFonts w:ascii="Arial" w:eastAsia="Times New Roman" w:hAnsi="Arial" w:cs="Arial"/>
          <w:szCs w:val="20"/>
        </w:rPr>
        <w:t xml:space="preserve"> </w:t>
      </w:r>
      <w:r w:rsidR="006E2760" w:rsidRPr="006E2760">
        <w:rPr>
          <w:rFonts w:ascii="Arial" w:eastAsia="Times New Roman" w:hAnsi="Arial" w:cs="Arial"/>
          <w:szCs w:val="20"/>
        </w:rPr>
        <w:t>σε ισχύ το 2024.</w:t>
      </w:r>
    </w:p>
    <w:p w14:paraId="647EE87A" w14:textId="77777777" w:rsidR="005B6F70" w:rsidRPr="00D97C0D" w:rsidRDefault="005B6F70" w:rsidP="00267181">
      <w:pPr>
        <w:spacing w:line="240" w:lineRule="auto"/>
        <w:jc w:val="both"/>
        <w:rPr>
          <w:rFonts w:ascii="Arial" w:eastAsia="Times New Roman" w:hAnsi="Arial" w:cs="Arial"/>
          <w:color w:val="FF0000"/>
          <w:szCs w:val="20"/>
        </w:rPr>
      </w:pPr>
    </w:p>
    <w:p w14:paraId="6D82416D" w14:textId="0A9393BE" w:rsidR="00422924" w:rsidRPr="00051E74" w:rsidRDefault="00422924" w:rsidP="0042292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ΓΕΓΟΝΟΤΑ ΤΡΙΜΗΝΟΥ</w:t>
      </w:r>
    </w:p>
    <w:p w14:paraId="3914E89C" w14:textId="77777777" w:rsidR="00422924" w:rsidRPr="00806D3A" w:rsidRDefault="00422924" w:rsidP="00422924">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8" behindDoc="0" locked="0" layoutInCell="1" allowOverlap="1" wp14:anchorId="722C85CE" wp14:editId="31162793">
                <wp:simplePos x="0" y="0"/>
                <wp:positionH relativeFrom="column">
                  <wp:posOffset>2752</wp:posOffset>
                </wp:positionH>
                <wp:positionV relativeFrom="paragraph">
                  <wp:posOffset>11642</wp:posOffset>
                </wp:positionV>
                <wp:extent cx="664083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4A2DD"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7209F9C8" w14:textId="77777777" w:rsidR="00C06D05" w:rsidRPr="00293F04" w:rsidRDefault="00C06D05" w:rsidP="00FB5BF3">
      <w:pPr>
        <w:spacing w:afterLines="40" w:after="96" w:line="280" w:lineRule="exact"/>
        <w:jc w:val="both"/>
        <w:rPr>
          <w:rFonts w:ascii="Arial" w:eastAsia="Times New Roman" w:hAnsi="Arial" w:cs="Arial"/>
          <w:b/>
          <w:szCs w:val="20"/>
        </w:rPr>
      </w:pPr>
      <w:r w:rsidRPr="00293F04">
        <w:rPr>
          <w:rFonts w:ascii="Arial" w:eastAsia="Times New Roman" w:hAnsi="Arial" w:cs="Arial"/>
          <w:b/>
          <w:szCs w:val="20"/>
        </w:rPr>
        <w:t>Πρόγραμμα απόκτησης ιδίων μετοχών</w:t>
      </w:r>
    </w:p>
    <w:p w14:paraId="127E2CCB" w14:textId="5279E891" w:rsidR="00F415F9" w:rsidRDefault="00C06D05" w:rsidP="00F415F9">
      <w:pPr>
        <w:spacing w:afterLines="40" w:after="96" w:line="280" w:lineRule="exact"/>
        <w:jc w:val="both"/>
        <w:rPr>
          <w:rFonts w:ascii="Arial" w:eastAsia="Times New Roman" w:hAnsi="Arial" w:cs="Arial"/>
          <w:szCs w:val="20"/>
        </w:rPr>
      </w:pPr>
      <w:r w:rsidRPr="00787EE2">
        <w:rPr>
          <w:rFonts w:ascii="Arial" w:eastAsia="Times New Roman" w:hAnsi="Arial" w:cs="Arial"/>
          <w:szCs w:val="20"/>
        </w:rPr>
        <w:t xml:space="preserve">Κατά την περίοδο 26 Φεβρουαρίου 2024 μέχρι και </w:t>
      </w:r>
      <w:r w:rsidR="00F415F9" w:rsidRPr="00787EE2">
        <w:rPr>
          <w:rFonts w:ascii="Arial" w:eastAsia="Times New Roman" w:hAnsi="Arial" w:cs="Arial"/>
          <w:szCs w:val="20"/>
        </w:rPr>
        <w:t>10</w:t>
      </w:r>
      <w:r w:rsidRPr="00787EE2">
        <w:rPr>
          <w:rFonts w:ascii="Arial" w:eastAsia="Times New Roman" w:hAnsi="Arial" w:cs="Arial"/>
          <w:szCs w:val="20"/>
        </w:rPr>
        <w:t xml:space="preserve"> </w:t>
      </w:r>
      <w:r w:rsidR="00F415F9" w:rsidRPr="00787EE2">
        <w:rPr>
          <w:rFonts w:ascii="Arial" w:eastAsia="Times New Roman" w:hAnsi="Arial" w:cs="Arial"/>
          <w:szCs w:val="20"/>
        </w:rPr>
        <w:t>Ιανουαρίου</w:t>
      </w:r>
      <w:r w:rsidRPr="00787EE2">
        <w:rPr>
          <w:rFonts w:ascii="Arial" w:eastAsia="Times New Roman" w:hAnsi="Arial" w:cs="Arial"/>
          <w:szCs w:val="20"/>
        </w:rPr>
        <w:t xml:space="preserve"> 202</w:t>
      </w:r>
      <w:r w:rsidR="00F415F9" w:rsidRPr="00787EE2">
        <w:rPr>
          <w:rFonts w:ascii="Arial" w:eastAsia="Times New Roman" w:hAnsi="Arial" w:cs="Arial"/>
          <w:szCs w:val="20"/>
        </w:rPr>
        <w:t>5,</w:t>
      </w:r>
      <w:r w:rsidRPr="00787EE2">
        <w:rPr>
          <w:rFonts w:ascii="Arial" w:eastAsia="Times New Roman" w:hAnsi="Arial" w:cs="Arial"/>
          <w:szCs w:val="20"/>
        </w:rPr>
        <w:t xml:space="preserve"> </w:t>
      </w:r>
      <w:r w:rsidR="00F415F9" w:rsidRPr="00787EE2">
        <w:rPr>
          <w:rFonts w:ascii="Arial" w:eastAsia="Times New Roman" w:hAnsi="Arial" w:cs="Arial"/>
          <w:szCs w:val="20"/>
        </w:rPr>
        <w:t xml:space="preserve">όπου </w:t>
      </w:r>
      <w:r w:rsidR="002032C6" w:rsidRPr="00787EE2">
        <w:rPr>
          <w:rFonts w:ascii="Arial" w:eastAsia="Times New Roman" w:hAnsi="Arial" w:cs="Arial"/>
          <w:szCs w:val="20"/>
        </w:rPr>
        <w:t xml:space="preserve">ολοκληρώθηκαν </w:t>
      </w:r>
      <w:r w:rsidR="00F415F9" w:rsidRPr="00787EE2">
        <w:rPr>
          <w:rFonts w:ascii="Arial" w:eastAsia="Times New Roman" w:hAnsi="Arial" w:cs="Arial"/>
          <w:szCs w:val="20"/>
        </w:rPr>
        <w:t xml:space="preserve">οι αγορές στο πλαίσιο του Προγράμματος Επαναγοράς Ιδίων Μετοχών για το 2024,  </w:t>
      </w:r>
      <w:r w:rsidRPr="00787EE2">
        <w:rPr>
          <w:rFonts w:ascii="Arial" w:eastAsia="Times New Roman" w:hAnsi="Arial" w:cs="Arial"/>
          <w:szCs w:val="20"/>
        </w:rPr>
        <w:t>η Εταιρεία απέκτησε 10.</w:t>
      </w:r>
      <w:r w:rsidR="00F415F9" w:rsidRPr="00787EE2">
        <w:rPr>
          <w:rFonts w:ascii="Arial" w:eastAsia="Times New Roman" w:hAnsi="Arial" w:cs="Arial"/>
          <w:szCs w:val="20"/>
        </w:rPr>
        <w:t>556</w:t>
      </w:r>
      <w:r w:rsidRPr="00787EE2">
        <w:rPr>
          <w:rFonts w:ascii="Arial" w:eastAsia="Times New Roman" w:hAnsi="Arial" w:cs="Arial"/>
          <w:szCs w:val="20"/>
        </w:rPr>
        <w:t>.</w:t>
      </w:r>
      <w:r w:rsidR="00F415F9" w:rsidRPr="00787EE2">
        <w:rPr>
          <w:rFonts w:ascii="Arial" w:eastAsia="Times New Roman" w:hAnsi="Arial" w:cs="Arial"/>
          <w:szCs w:val="20"/>
        </w:rPr>
        <w:t>684</w:t>
      </w:r>
      <w:r w:rsidRPr="00787EE2">
        <w:rPr>
          <w:rFonts w:ascii="Arial" w:eastAsia="Times New Roman" w:hAnsi="Arial" w:cs="Arial"/>
          <w:szCs w:val="20"/>
        </w:rPr>
        <w:t xml:space="preserve"> </w:t>
      </w:r>
      <w:r w:rsidR="00F415F9" w:rsidRPr="00787EE2">
        <w:rPr>
          <w:rFonts w:ascii="Arial" w:eastAsia="Times New Roman" w:hAnsi="Arial" w:cs="Arial"/>
          <w:szCs w:val="20"/>
        </w:rPr>
        <w:t xml:space="preserve">ίδιες </w:t>
      </w:r>
      <w:r w:rsidRPr="00787EE2">
        <w:rPr>
          <w:rFonts w:ascii="Arial" w:eastAsia="Times New Roman" w:hAnsi="Arial" w:cs="Arial"/>
          <w:szCs w:val="20"/>
        </w:rPr>
        <w:t>μετοχές με μέση τιμή αγοράς €14,</w:t>
      </w:r>
      <w:r w:rsidR="00F415F9" w:rsidRPr="00787EE2">
        <w:rPr>
          <w:rFonts w:ascii="Arial" w:eastAsia="Times New Roman" w:hAnsi="Arial" w:cs="Arial"/>
          <w:szCs w:val="20"/>
        </w:rPr>
        <w:t>48</w:t>
      </w:r>
      <w:r w:rsidRPr="00787EE2">
        <w:rPr>
          <w:rFonts w:ascii="Arial" w:eastAsia="Times New Roman" w:hAnsi="Arial" w:cs="Arial"/>
          <w:szCs w:val="20"/>
        </w:rPr>
        <w:t xml:space="preserve"> ανά μετοχή. Εκ του συνόλου αυτού, 3.381.933 μετοχές που αποκτήθηκαν κατά την περίοδο 26 Φεβρουαρίου 2024 μέχρι και 31 Μαΐου 2024, ακυρώθηκαν και διαγράφηκαν από το Χρηματιστήριο Αθηνών</w:t>
      </w:r>
      <w:r w:rsidR="00F415F9" w:rsidRPr="00787EE2">
        <w:rPr>
          <w:rFonts w:ascii="Arial" w:eastAsia="Times New Roman" w:hAnsi="Arial" w:cs="Arial"/>
          <w:szCs w:val="20"/>
        </w:rPr>
        <w:t xml:space="preserve"> στις 24 Ιουλίου 2024,</w:t>
      </w:r>
      <w:r w:rsidRPr="00787EE2">
        <w:rPr>
          <w:rFonts w:ascii="Arial" w:eastAsia="Times New Roman" w:hAnsi="Arial" w:cs="Arial"/>
          <w:szCs w:val="20"/>
        </w:rPr>
        <w:t xml:space="preserve"> μαζί με 1.926.507 μετοχές που είχαν αποκτηθεί στο πλαίσιο προηγούμενου προγράμματος. </w:t>
      </w:r>
      <w:r w:rsidR="00F415F9" w:rsidRPr="00787EE2">
        <w:rPr>
          <w:rFonts w:ascii="Arial" w:eastAsia="Times New Roman" w:hAnsi="Arial" w:cs="Arial"/>
          <w:szCs w:val="20"/>
        </w:rPr>
        <w:t xml:space="preserve">Στις </w:t>
      </w:r>
      <w:r w:rsidRPr="00787EE2">
        <w:rPr>
          <w:rFonts w:ascii="Arial" w:eastAsia="Times New Roman" w:hAnsi="Arial" w:cs="Arial"/>
          <w:szCs w:val="20"/>
        </w:rPr>
        <w:t xml:space="preserve"> 25  Φεβρουαρίου  202</w:t>
      </w:r>
      <w:r w:rsidR="00F415F9" w:rsidRPr="00787EE2">
        <w:rPr>
          <w:rFonts w:ascii="Arial" w:eastAsia="Times New Roman" w:hAnsi="Arial" w:cs="Arial"/>
          <w:szCs w:val="20"/>
        </w:rPr>
        <w:t>5</w:t>
      </w:r>
      <w:r w:rsidRPr="00787EE2">
        <w:rPr>
          <w:rFonts w:ascii="Arial" w:eastAsia="Times New Roman" w:hAnsi="Arial" w:cs="Arial"/>
          <w:szCs w:val="20"/>
        </w:rPr>
        <w:t xml:space="preserve">, η Εταιρεία </w:t>
      </w:r>
      <w:r w:rsidR="00F415F9" w:rsidRPr="00787EE2">
        <w:rPr>
          <w:rFonts w:ascii="Arial" w:eastAsia="Times New Roman" w:hAnsi="Arial" w:cs="Arial"/>
          <w:szCs w:val="20"/>
        </w:rPr>
        <w:t>κατείχε</w:t>
      </w:r>
      <w:r w:rsidRPr="00787EE2">
        <w:rPr>
          <w:rFonts w:ascii="Arial" w:eastAsia="Times New Roman" w:hAnsi="Arial" w:cs="Arial"/>
          <w:szCs w:val="20"/>
        </w:rPr>
        <w:t xml:space="preserve"> 7.174. 751 ίδιες μετοχές που αποκτήθηκαν στο διάστημα από 1 Ιουνίου 2024 έως και 10 Ιανουαρίου 2025, ημερομηνία κατά την οποία ολοκληρώθηκαν οι αγορές με σκοπό την ακύρωση των μετοχών</w:t>
      </w:r>
      <w:r w:rsidR="00F415F9" w:rsidRPr="00787EE2">
        <w:rPr>
          <w:rFonts w:ascii="Arial" w:eastAsia="Times New Roman" w:hAnsi="Arial" w:cs="Arial"/>
          <w:szCs w:val="20"/>
        </w:rPr>
        <w:t xml:space="preserve"> στην Ετήσια Τακτική Γενική Συνέλευση των Μετόχων.</w:t>
      </w:r>
    </w:p>
    <w:p w14:paraId="1069C0F7" w14:textId="77777777" w:rsidR="000F11BF" w:rsidRPr="00787EE2" w:rsidRDefault="000F11BF" w:rsidP="000F11BF">
      <w:pPr>
        <w:spacing w:afterLines="40" w:after="96" w:line="280" w:lineRule="exact"/>
        <w:jc w:val="both"/>
        <w:rPr>
          <w:rFonts w:ascii="Arial" w:eastAsia="Times New Roman" w:hAnsi="Arial" w:cs="Arial"/>
          <w:szCs w:val="20"/>
        </w:rPr>
      </w:pPr>
      <w:r>
        <w:rPr>
          <w:rFonts w:ascii="Arial" w:eastAsia="Times New Roman" w:hAnsi="Arial" w:cs="Arial"/>
          <w:szCs w:val="20"/>
        </w:rPr>
        <w:t>Το Πρόγραμμα Επαναγοράς Ιδίων Μετοχών για το 2025 αναμένεται να ξεκινήσει τις επόμενες ημέρες.</w:t>
      </w:r>
    </w:p>
    <w:p w14:paraId="640580F5" w14:textId="31504AFB" w:rsidR="00F62A60" w:rsidRPr="00293F04" w:rsidRDefault="00F62A60" w:rsidP="00FB5BF3">
      <w:pPr>
        <w:spacing w:afterLines="40" w:after="96" w:line="280" w:lineRule="exact"/>
        <w:jc w:val="both"/>
        <w:rPr>
          <w:rFonts w:ascii="Arial" w:eastAsia="Times New Roman" w:hAnsi="Arial" w:cs="Arial"/>
          <w:b/>
          <w:szCs w:val="20"/>
        </w:rPr>
      </w:pPr>
      <w:r w:rsidRPr="00293F04">
        <w:rPr>
          <w:rFonts w:ascii="Arial" w:eastAsia="Times New Roman" w:hAnsi="Arial" w:cs="Arial"/>
          <w:b/>
          <w:szCs w:val="20"/>
        </w:rPr>
        <w:t xml:space="preserve">Αποπληρωμή ομολόγου </w:t>
      </w:r>
    </w:p>
    <w:p w14:paraId="423130D6" w14:textId="2CC62956" w:rsidR="00F62A60" w:rsidRPr="00293F04" w:rsidRDefault="00F62A60" w:rsidP="00FB5BF3">
      <w:pPr>
        <w:spacing w:afterLines="40" w:after="96" w:line="280" w:lineRule="exact"/>
        <w:jc w:val="both"/>
        <w:rPr>
          <w:rFonts w:ascii="Arial" w:eastAsia="Times New Roman" w:hAnsi="Arial" w:cs="Arial"/>
          <w:szCs w:val="20"/>
        </w:rPr>
      </w:pPr>
      <w:r w:rsidRPr="00293F04">
        <w:rPr>
          <w:rFonts w:ascii="Arial" w:eastAsia="Times New Roman" w:hAnsi="Arial" w:cs="Arial"/>
          <w:szCs w:val="20"/>
        </w:rPr>
        <w:t>Στις 24 Οκτωβρίου 2024, αποπληρώθηκε στη λήξη του το ομόλογο σταθερού επιτοκίου ύψους €40 εκατ.</w:t>
      </w:r>
      <w:r w:rsidR="002032C6">
        <w:rPr>
          <w:rFonts w:ascii="Arial" w:eastAsia="Times New Roman" w:hAnsi="Arial" w:cs="Arial"/>
          <w:szCs w:val="20"/>
        </w:rPr>
        <w:t>,</w:t>
      </w:r>
      <w:r w:rsidRPr="00293F04">
        <w:rPr>
          <w:rFonts w:ascii="Arial" w:eastAsia="Times New Roman" w:hAnsi="Arial" w:cs="Arial"/>
          <w:szCs w:val="20"/>
        </w:rPr>
        <w:t xml:space="preserve"> το οποίο είχε εκδοθεί στο πλαίσιο του Προγράμματος Έκδοσης Ομολόγων Μεσοπρόθεσμης Διάρκειας της </w:t>
      </w:r>
      <w:r w:rsidRPr="008F7D26">
        <w:rPr>
          <w:rFonts w:ascii="Arial" w:eastAsia="Times New Roman" w:hAnsi="Arial" w:cs="Arial"/>
          <w:szCs w:val="20"/>
          <w:lang w:val="en-US"/>
        </w:rPr>
        <w:t>OTE</w:t>
      </w:r>
      <w:r w:rsidRPr="00293F04">
        <w:rPr>
          <w:rFonts w:ascii="Arial" w:eastAsia="Times New Roman" w:hAnsi="Arial" w:cs="Arial"/>
          <w:szCs w:val="20"/>
        </w:rPr>
        <w:t xml:space="preserve"> </w:t>
      </w:r>
      <w:r w:rsidRPr="008F7D26">
        <w:rPr>
          <w:rFonts w:ascii="Arial" w:eastAsia="Times New Roman" w:hAnsi="Arial" w:cs="Arial"/>
          <w:szCs w:val="20"/>
          <w:lang w:val="en-US"/>
        </w:rPr>
        <w:t>PLC</w:t>
      </w:r>
      <w:r w:rsidRPr="00293F04">
        <w:rPr>
          <w:rFonts w:ascii="Arial" w:eastAsia="Times New Roman" w:hAnsi="Arial" w:cs="Arial"/>
          <w:szCs w:val="20"/>
        </w:rPr>
        <w:t xml:space="preserve"> και είχε πλήρως αναληφθεί από την </w:t>
      </w:r>
      <w:r w:rsidRPr="008F7D26">
        <w:rPr>
          <w:rFonts w:ascii="Arial" w:eastAsia="Times New Roman" w:hAnsi="Arial" w:cs="Arial"/>
          <w:szCs w:val="20"/>
          <w:lang w:val="en-US"/>
        </w:rPr>
        <w:t>Deutsche</w:t>
      </w:r>
      <w:r w:rsidRPr="00293F04">
        <w:rPr>
          <w:rFonts w:ascii="Arial" w:eastAsia="Times New Roman" w:hAnsi="Arial" w:cs="Arial"/>
          <w:szCs w:val="20"/>
        </w:rPr>
        <w:t xml:space="preserve"> </w:t>
      </w:r>
      <w:r w:rsidRPr="008F7D26">
        <w:rPr>
          <w:rFonts w:ascii="Arial" w:eastAsia="Times New Roman" w:hAnsi="Arial" w:cs="Arial"/>
          <w:szCs w:val="20"/>
          <w:lang w:val="en-US"/>
        </w:rPr>
        <w:t>Telekom</w:t>
      </w:r>
      <w:r w:rsidRPr="00293F04">
        <w:rPr>
          <w:rFonts w:ascii="Arial" w:eastAsia="Times New Roman" w:hAnsi="Arial" w:cs="Arial"/>
          <w:szCs w:val="20"/>
        </w:rPr>
        <w:t xml:space="preserve"> </w:t>
      </w:r>
      <w:r w:rsidRPr="008F7D26">
        <w:rPr>
          <w:rFonts w:ascii="Arial" w:eastAsia="Times New Roman" w:hAnsi="Arial" w:cs="Arial"/>
          <w:szCs w:val="20"/>
          <w:lang w:val="en-US"/>
        </w:rPr>
        <w:t>AG</w:t>
      </w:r>
      <w:r w:rsidRPr="00293F04">
        <w:rPr>
          <w:rFonts w:ascii="Arial" w:eastAsia="Times New Roman" w:hAnsi="Arial" w:cs="Arial"/>
          <w:szCs w:val="20"/>
        </w:rPr>
        <w:t>.</w:t>
      </w:r>
    </w:p>
    <w:p w14:paraId="45AFAD80" w14:textId="156D49E6" w:rsidR="00F62A60" w:rsidRPr="005A3745" w:rsidRDefault="00F62A60" w:rsidP="00FB5BF3">
      <w:pPr>
        <w:spacing w:afterLines="40" w:after="96" w:line="280" w:lineRule="exact"/>
        <w:jc w:val="both"/>
        <w:rPr>
          <w:rFonts w:ascii="Arial" w:hAnsi="Arial" w:cs="Arial"/>
          <w:b/>
          <w:color w:val="000000"/>
          <w:lang w:val="en-US"/>
          <w14:ligatures w14:val="standardContextual"/>
        </w:rPr>
      </w:pPr>
      <w:r w:rsidRPr="00FB5BF3">
        <w:rPr>
          <w:rFonts w:ascii="Arial" w:eastAsia="Times New Roman" w:hAnsi="Arial" w:cs="Arial"/>
          <w:b/>
          <w:szCs w:val="20"/>
          <w:lang w:val="en-US"/>
        </w:rPr>
        <w:t>Πιθανή Πώληση Telekom Romania Mobile</w:t>
      </w:r>
      <w:r>
        <w:rPr>
          <w:rFonts w:ascii="Arial" w:hAnsi="Arial" w:cs="Arial"/>
          <w:b/>
          <w:bCs/>
          <w:color w:val="000000"/>
          <w:lang w:val="en-US"/>
          <w14:ligatures w14:val="standardContextual"/>
        </w:rPr>
        <w:tab/>
      </w:r>
      <w:r w:rsidRPr="005A3745">
        <w:rPr>
          <w:rFonts w:ascii="Arial" w:hAnsi="Arial" w:cs="Arial"/>
          <w:b/>
          <w:bCs/>
          <w:color w:val="000000"/>
          <w:lang w:val="en-US"/>
          <w14:ligatures w14:val="standardContextual"/>
        </w:rPr>
        <w:t xml:space="preserve"> </w:t>
      </w:r>
    </w:p>
    <w:p w14:paraId="7F9FF305" w14:textId="71E40E6B" w:rsidR="00F62A60" w:rsidRPr="00293F04" w:rsidRDefault="00F62A60" w:rsidP="00FB5BF3">
      <w:pPr>
        <w:spacing w:afterLines="40" w:after="96" w:line="280" w:lineRule="exact"/>
        <w:jc w:val="both"/>
        <w:rPr>
          <w:rFonts w:ascii="Arial" w:eastAsia="Times New Roman" w:hAnsi="Arial" w:cs="Arial"/>
          <w:szCs w:val="20"/>
        </w:rPr>
      </w:pPr>
      <w:r w:rsidRPr="00293F04">
        <w:rPr>
          <w:rFonts w:ascii="Arial" w:eastAsia="Times New Roman" w:hAnsi="Arial" w:cs="Arial"/>
          <w:szCs w:val="20"/>
        </w:rPr>
        <w:t xml:space="preserve">Στις 31 Οκτωβρίου 2024, ο ΟΤΕ ανακοίνωσε ότι έχει ξεκινήσει διαπραγματεύσεις για την πώληση της </w:t>
      </w:r>
      <w:r w:rsidRPr="008F7D26">
        <w:rPr>
          <w:rFonts w:ascii="Arial" w:eastAsia="Times New Roman" w:hAnsi="Arial" w:cs="Arial"/>
          <w:szCs w:val="20"/>
          <w:lang w:val="en-US"/>
        </w:rPr>
        <w:t>Telekom</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Pr>
          <w:rFonts w:ascii="Arial" w:eastAsia="Times New Roman" w:hAnsi="Arial" w:cs="Arial"/>
          <w:szCs w:val="20"/>
        </w:rPr>
        <w:t xml:space="preserve"> </w:t>
      </w:r>
      <w:r w:rsidRPr="008F7D26">
        <w:rPr>
          <w:rFonts w:ascii="Arial" w:eastAsia="Times New Roman" w:hAnsi="Arial" w:cs="Arial"/>
          <w:szCs w:val="20"/>
          <w:lang w:val="en-US"/>
        </w:rPr>
        <w:t>Mobile</w:t>
      </w:r>
      <w:r w:rsidRPr="00293F04">
        <w:rPr>
          <w:rFonts w:ascii="Arial" w:eastAsia="Times New Roman" w:hAnsi="Arial" w:cs="Arial"/>
          <w:szCs w:val="20"/>
        </w:rPr>
        <w:t xml:space="preserve"> (“</w:t>
      </w:r>
      <w:r w:rsidRPr="008F7D26">
        <w:rPr>
          <w:rFonts w:ascii="Arial" w:eastAsia="Times New Roman" w:hAnsi="Arial" w:cs="Arial"/>
          <w:szCs w:val="20"/>
          <w:lang w:val="en-US"/>
        </w:rPr>
        <w:t>TKRM</w:t>
      </w:r>
      <w:r w:rsidRPr="00293F04">
        <w:rPr>
          <w:rFonts w:ascii="Arial" w:eastAsia="Times New Roman" w:hAnsi="Arial" w:cs="Arial"/>
          <w:szCs w:val="20"/>
        </w:rPr>
        <w:t xml:space="preserve">”) με την </w:t>
      </w:r>
      <w:r w:rsidRPr="008F7D26">
        <w:rPr>
          <w:rFonts w:ascii="Arial" w:eastAsia="Times New Roman" w:hAnsi="Arial" w:cs="Arial"/>
          <w:szCs w:val="20"/>
          <w:lang w:val="en-US"/>
        </w:rPr>
        <w:t>Digi</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Pr>
          <w:rFonts w:ascii="Arial" w:eastAsia="Times New Roman" w:hAnsi="Arial" w:cs="Arial"/>
          <w:szCs w:val="20"/>
        </w:rPr>
        <w:t xml:space="preserve"> </w:t>
      </w:r>
      <w:r w:rsidRPr="008F7D26">
        <w:rPr>
          <w:rFonts w:ascii="Arial" w:eastAsia="Times New Roman" w:hAnsi="Arial" w:cs="Arial"/>
          <w:szCs w:val="20"/>
          <w:lang w:val="en-US"/>
        </w:rPr>
        <w:t>S</w:t>
      </w:r>
      <w:r w:rsidRPr="00293F04">
        <w:rPr>
          <w:rFonts w:ascii="Arial" w:eastAsia="Times New Roman" w:hAnsi="Arial" w:cs="Arial"/>
          <w:szCs w:val="20"/>
        </w:rPr>
        <w:t>.</w:t>
      </w:r>
      <w:r w:rsidRPr="008F7D26">
        <w:rPr>
          <w:rFonts w:ascii="Arial" w:eastAsia="Times New Roman" w:hAnsi="Arial" w:cs="Arial"/>
          <w:szCs w:val="20"/>
          <w:lang w:val="en-US"/>
        </w:rPr>
        <w:t>A</w:t>
      </w:r>
      <w:r w:rsidRPr="00293F04">
        <w:rPr>
          <w:rFonts w:ascii="Arial" w:eastAsia="Times New Roman" w:hAnsi="Arial" w:cs="Arial"/>
          <w:szCs w:val="20"/>
        </w:rPr>
        <w:t xml:space="preserve"> και την </w:t>
      </w:r>
      <w:r w:rsidRPr="008F7D26">
        <w:rPr>
          <w:rFonts w:ascii="Arial" w:eastAsia="Times New Roman" w:hAnsi="Arial" w:cs="Arial"/>
          <w:szCs w:val="20"/>
          <w:lang w:val="en-US"/>
        </w:rPr>
        <w:t>Vodafone</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Pr>
          <w:rFonts w:ascii="Arial" w:eastAsia="Times New Roman" w:hAnsi="Arial" w:cs="Arial"/>
          <w:szCs w:val="20"/>
        </w:rPr>
        <w:t xml:space="preserve"> </w:t>
      </w:r>
      <w:r w:rsidRPr="008F7D26">
        <w:rPr>
          <w:rFonts w:ascii="Arial" w:eastAsia="Times New Roman" w:hAnsi="Arial" w:cs="Arial"/>
          <w:szCs w:val="20"/>
          <w:lang w:val="en-US"/>
        </w:rPr>
        <w:t>S</w:t>
      </w:r>
      <w:r w:rsidRPr="00293F04">
        <w:rPr>
          <w:rFonts w:ascii="Arial" w:eastAsia="Times New Roman" w:hAnsi="Arial" w:cs="Arial"/>
          <w:szCs w:val="20"/>
        </w:rPr>
        <w:t>.</w:t>
      </w:r>
      <w:r w:rsidRPr="008F7D26">
        <w:rPr>
          <w:rFonts w:ascii="Arial" w:eastAsia="Times New Roman" w:hAnsi="Arial" w:cs="Arial"/>
          <w:szCs w:val="20"/>
          <w:lang w:val="en-US"/>
        </w:rPr>
        <w:t>A</w:t>
      </w:r>
      <w:r w:rsidRPr="00293F04">
        <w:rPr>
          <w:rFonts w:ascii="Arial" w:eastAsia="Times New Roman" w:hAnsi="Arial" w:cs="Arial"/>
          <w:szCs w:val="20"/>
        </w:rPr>
        <w:t>. Τα μέρη έχουν υπογράψει μνημόνιο συνεργασίας (</w:t>
      </w:r>
      <w:r w:rsidRPr="008F7D26">
        <w:rPr>
          <w:rFonts w:ascii="Arial" w:eastAsia="Times New Roman" w:hAnsi="Arial" w:cs="Arial"/>
          <w:szCs w:val="20"/>
          <w:lang w:val="en-US"/>
        </w:rPr>
        <w:t>MoU</w:t>
      </w:r>
      <w:r w:rsidRPr="00293F04">
        <w:rPr>
          <w:rFonts w:ascii="Arial" w:eastAsia="Times New Roman" w:hAnsi="Arial" w:cs="Arial"/>
          <w:szCs w:val="20"/>
        </w:rPr>
        <w:t xml:space="preserve">) και </w:t>
      </w:r>
      <w:r w:rsidR="00467B10">
        <w:rPr>
          <w:rFonts w:ascii="Arial" w:eastAsia="Times New Roman" w:hAnsi="Arial" w:cs="Arial"/>
          <w:szCs w:val="20"/>
        </w:rPr>
        <w:t>έχουν υποβάλει</w:t>
      </w:r>
      <w:r w:rsidRPr="00293F04">
        <w:rPr>
          <w:rFonts w:ascii="Arial" w:eastAsia="Times New Roman" w:hAnsi="Arial" w:cs="Arial"/>
          <w:szCs w:val="20"/>
        </w:rPr>
        <w:t xml:space="preserve"> αίτηση προς έγκριση στις αρμόδιες αρχές της Ρουμανίας (</w:t>
      </w:r>
      <w:r w:rsidRPr="008F7D26">
        <w:rPr>
          <w:rFonts w:ascii="Arial" w:eastAsia="Times New Roman" w:hAnsi="Arial" w:cs="Arial"/>
          <w:szCs w:val="20"/>
          <w:lang w:val="en-US"/>
        </w:rPr>
        <w:t>RCC</w:t>
      </w:r>
      <w:r w:rsidRPr="00293F04">
        <w:rPr>
          <w:rFonts w:ascii="Arial" w:eastAsia="Times New Roman" w:hAnsi="Arial" w:cs="Arial"/>
          <w:szCs w:val="20"/>
        </w:rPr>
        <w:t xml:space="preserve">, </w:t>
      </w:r>
      <w:r w:rsidRPr="008F7D26">
        <w:rPr>
          <w:rFonts w:ascii="Arial" w:eastAsia="Times New Roman" w:hAnsi="Arial" w:cs="Arial"/>
          <w:szCs w:val="20"/>
          <w:lang w:val="en-US"/>
        </w:rPr>
        <w:t>FDI</w:t>
      </w:r>
      <w:r w:rsidRPr="00293F04">
        <w:rPr>
          <w:rFonts w:ascii="Arial" w:eastAsia="Times New Roman" w:hAnsi="Arial" w:cs="Arial"/>
          <w:szCs w:val="20"/>
        </w:rPr>
        <w:t xml:space="preserve">, </w:t>
      </w:r>
      <w:r w:rsidRPr="008F7D26">
        <w:rPr>
          <w:rFonts w:ascii="Arial" w:eastAsia="Times New Roman" w:hAnsi="Arial" w:cs="Arial"/>
          <w:szCs w:val="20"/>
          <w:lang w:val="en-US"/>
        </w:rPr>
        <w:t>ANCOM</w:t>
      </w:r>
      <w:r w:rsidRPr="00293F04">
        <w:rPr>
          <w:rFonts w:ascii="Arial" w:eastAsia="Times New Roman" w:hAnsi="Arial" w:cs="Arial"/>
          <w:szCs w:val="20"/>
        </w:rPr>
        <w:t xml:space="preserve">). Το μνημόνιο συνεργασίας προβλέπει ότι ορισμένα περιουσιακά στοιχεία της </w:t>
      </w:r>
      <w:r w:rsidRPr="008F7D26">
        <w:rPr>
          <w:rFonts w:ascii="Arial" w:eastAsia="Times New Roman" w:hAnsi="Arial" w:cs="Arial"/>
          <w:szCs w:val="20"/>
          <w:lang w:val="en-US"/>
        </w:rPr>
        <w:t>TKRM</w:t>
      </w:r>
      <w:r w:rsidRPr="00293F04">
        <w:rPr>
          <w:rFonts w:ascii="Arial" w:eastAsia="Times New Roman" w:hAnsi="Arial" w:cs="Arial"/>
          <w:szCs w:val="20"/>
        </w:rPr>
        <w:t xml:space="preserve"> θα αποκτηθούν από την </w:t>
      </w:r>
      <w:r w:rsidRPr="008F7D26">
        <w:rPr>
          <w:rFonts w:ascii="Arial" w:eastAsia="Times New Roman" w:hAnsi="Arial" w:cs="Arial"/>
          <w:szCs w:val="20"/>
          <w:lang w:val="en-US"/>
        </w:rPr>
        <w:t>Digi</w:t>
      </w:r>
      <w:r w:rsidRPr="00293F04">
        <w:rPr>
          <w:rFonts w:ascii="Arial" w:eastAsia="Times New Roman" w:hAnsi="Arial" w:cs="Arial"/>
          <w:szCs w:val="20"/>
        </w:rPr>
        <w:t xml:space="preserve">, ενώ τα υπόλοιπα περιουσιακά στοιχεία και η Εταιρεία θα αποκτηθούν από τη </w:t>
      </w:r>
      <w:r w:rsidRPr="008F7D26">
        <w:rPr>
          <w:rFonts w:ascii="Arial" w:eastAsia="Times New Roman" w:hAnsi="Arial" w:cs="Arial"/>
          <w:szCs w:val="20"/>
          <w:lang w:val="en-US"/>
        </w:rPr>
        <w:t>Vodafone</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sidDel="002F1563">
        <w:rPr>
          <w:rFonts w:ascii="Arial" w:eastAsia="Times New Roman" w:hAnsi="Arial" w:cs="Arial"/>
          <w:szCs w:val="20"/>
        </w:rPr>
        <w:t xml:space="preserve">. </w:t>
      </w:r>
      <w:r w:rsidRPr="00293F04">
        <w:rPr>
          <w:rFonts w:ascii="Arial" w:eastAsia="Times New Roman" w:hAnsi="Arial" w:cs="Arial"/>
          <w:szCs w:val="20"/>
        </w:rPr>
        <w:t xml:space="preserve">Η ολοκλήρωση της συναλλαγής υπόκειται στην υπογραφή της Σύμβασης Αγοράς Μετοχών και της τεκμηρίωσης της συναλλαγής, καθώς και σε εγκρίσεις από ρυθμιστικές αρχές. </w:t>
      </w:r>
    </w:p>
    <w:p w14:paraId="5E1C9088" w14:textId="77777777" w:rsidR="00610742" w:rsidRPr="00FB5BF3" w:rsidRDefault="00610742" w:rsidP="00FB5BF3">
      <w:pPr>
        <w:spacing w:afterLines="40" w:after="96" w:line="280" w:lineRule="exact"/>
        <w:jc w:val="both"/>
        <w:rPr>
          <w:rFonts w:ascii="Arial" w:eastAsia="Times New Roman" w:hAnsi="Arial" w:cs="Arial"/>
          <w:b/>
          <w:szCs w:val="20"/>
        </w:rPr>
      </w:pPr>
      <w:r w:rsidRPr="00FB5BF3">
        <w:rPr>
          <w:rFonts w:ascii="Arial" w:eastAsia="Times New Roman" w:hAnsi="Arial" w:cs="Arial"/>
          <w:b/>
          <w:szCs w:val="20"/>
        </w:rPr>
        <w:t xml:space="preserve">Απόσχιση του κλάδου παθητικών υποδομών κινητής </w:t>
      </w:r>
    </w:p>
    <w:p w14:paraId="08E1A1CD" w14:textId="49106E50" w:rsidR="00610742" w:rsidRPr="00537848" w:rsidRDefault="00610742" w:rsidP="00FB5BF3">
      <w:pPr>
        <w:spacing w:afterLines="40" w:after="96" w:line="280" w:lineRule="exact"/>
        <w:jc w:val="both"/>
        <w:rPr>
          <w:rFonts w:ascii="Arial" w:hAnsi="Arial" w:cs="Arial"/>
          <w:szCs w:val="20"/>
        </w:rPr>
      </w:pPr>
      <w:r w:rsidRPr="00FB5BF3">
        <w:rPr>
          <w:rFonts w:ascii="Arial" w:hAnsi="Arial" w:cs="Arial"/>
        </w:rPr>
        <w:t xml:space="preserve">Στις </w:t>
      </w:r>
      <w:r w:rsidRPr="00537848">
        <w:rPr>
          <w:rFonts w:ascii="Arial" w:hAnsi="Arial" w:cs="Arial"/>
          <w:szCs w:val="20"/>
        </w:rPr>
        <w:t>13</w:t>
      </w:r>
      <w:r w:rsidRPr="00232CCE">
        <w:rPr>
          <w:rFonts w:ascii="Arial" w:hAnsi="Arial" w:cs="Arial"/>
          <w:szCs w:val="20"/>
        </w:rPr>
        <w:t xml:space="preserve"> </w:t>
      </w:r>
      <w:r w:rsidRPr="00537848">
        <w:rPr>
          <w:rFonts w:ascii="Arial" w:hAnsi="Arial" w:cs="Arial"/>
          <w:szCs w:val="20"/>
        </w:rPr>
        <w:t>Νοεμβρίου</w:t>
      </w:r>
      <w:r w:rsidRPr="00232CCE">
        <w:rPr>
          <w:rFonts w:ascii="Arial" w:hAnsi="Arial" w:cs="Arial"/>
          <w:szCs w:val="20"/>
        </w:rPr>
        <w:t xml:space="preserve"> 2024, </w:t>
      </w:r>
      <w:r w:rsidRPr="00537848">
        <w:rPr>
          <w:rFonts w:ascii="Arial" w:hAnsi="Arial" w:cs="Arial"/>
          <w:szCs w:val="20"/>
        </w:rPr>
        <w:t>το Διοικητικό Συμβούλιο</w:t>
      </w:r>
      <w:r>
        <w:rPr>
          <w:rFonts w:ascii="Arial" w:hAnsi="Arial" w:cs="Arial"/>
          <w:szCs w:val="20"/>
        </w:rPr>
        <w:t xml:space="preserve"> του ΟΤΕ</w:t>
      </w:r>
      <w:r w:rsidRPr="00537848">
        <w:rPr>
          <w:rFonts w:ascii="Arial" w:hAnsi="Arial" w:cs="Arial"/>
          <w:szCs w:val="20"/>
        </w:rPr>
        <w:t xml:space="preserve"> αποφάσισε την έναρξη διαδικασίας διάσπασης δια της απόσχισης του κλάδου παθητικών υποδομών κινητής και τη σύσταση για τον σκοπό αυτό νέας εταιρείας.</w:t>
      </w:r>
      <w:r>
        <w:rPr>
          <w:rFonts w:ascii="Arial" w:hAnsi="Arial" w:cs="Arial"/>
          <w:szCs w:val="20"/>
        </w:rPr>
        <w:t xml:space="preserve"> </w:t>
      </w:r>
      <w:r w:rsidRPr="00C74788">
        <w:rPr>
          <w:rFonts w:ascii="Arial" w:hAnsi="Arial" w:cs="Arial"/>
          <w:szCs w:val="20"/>
        </w:rPr>
        <w:t>Η απόσχιση θα πραγματοποιηθεί σύμφωνα με τις διατάξεις του Ν. 4601/2019, του Ν. 4548/2018, του Ν. 4172/2013 και του Ν. 4438/2016. Ως ημερομηνία σύνταξης ισολογισμού/λογιστικής κατάστασης μετασχηματισμού ορίσθηκε η 30</w:t>
      </w:r>
      <w:r w:rsidRPr="00C74788">
        <w:rPr>
          <w:rFonts w:ascii="Arial" w:hAnsi="Arial" w:cs="Arial"/>
          <w:szCs w:val="20"/>
          <w:vertAlign w:val="superscript"/>
        </w:rPr>
        <w:t>ή</w:t>
      </w:r>
      <w:r w:rsidRPr="00C74788">
        <w:rPr>
          <w:rFonts w:ascii="Arial" w:hAnsi="Arial" w:cs="Arial"/>
          <w:szCs w:val="20"/>
        </w:rPr>
        <w:t xml:space="preserve"> Νοεμβρίου.</w:t>
      </w:r>
      <w:r>
        <w:rPr>
          <w:rFonts w:ascii="Arial" w:hAnsi="Arial" w:cs="Arial"/>
          <w:szCs w:val="20"/>
        </w:rPr>
        <w:t xml:space="preserve"> </w:t>
      </w:r>
      <w:r w:rsidRPr="00537848">
        <w:rPr>
          <w:rFonts w:ascii="Arial" w:hAnsi="Arial" w:cs="Arial"/>
          <w:szCs w:val="20"/>
        </w:rPr>
        <w:t>Με την ανωτέρω απόφαση επιδιώκεται η βελτιστοποίηση της εταιρικής δομής, της επιχειρησιακής αποτελεσματικότητας και η δημιουργία αξίας στον Όμιλο OTE. Η ολοκλήρωση της διαδικασίας απόσχισης τελεί υπό την αίρεση των απαιτούμενων εγκρίσεων από το Διοικητικό Συμβούλιο και τη Γενική Συνέλευση των μετόχων της Εταιρείας</w:t>
      </w:r>
      <w:r w:rsidR="002032C6">
        <w:rPr>
          <w:rFonts w:ascii="Arial" w:hAnsi="Arial" w:cs="Arial"/>
          <w:szCs w:val="20"/>
        </w:rPr>
        <w:t>,</w:t>
      </w:r>
      <w:r w:rsidRPr="00537848">
        <w:rPr>
          <w:rFonts w:ascii="Arial" w:hAnsi="Arial" w:cs="Arial"/>
          <w:szCs w:val="20"/>
        </w:rPr>
        <w:t xml:space="preserve"> καθώς και της λήψης των αναγκαίων εγκρίσεων από τις αρμόδιες Αρχές. </w:t>
      </w:r>
    </w:p>
    <w:p w14:paraId="047D8323" w14:textId="77777777" w:rsidR="00610742" w:rsidRPr="00467B64" w:rsidRDefault="00610742" w:rsidP="00F62A60">
      <w:pPr>
        <w:jc w:val="both"/>
        <w:rPr>
          <w:rFonts w:ascii="Arial" w:hAnsi="Arial" w:cs="Arial"/>
          <w:color w:val="000000"/>
          <w:lang w:eastAsia="el-GR"/>
          <w14:ligatures w14:val="standardContextual"/>
        </w:rPr>
      </w:pPr>
    </w:p>
    <w:p w14:paraId="2F0532C7" w14:textId="77777777" w:rsidR="009820FA" w:rsidRDefault="009820FA" w:rsidP="009820FA">
      <w:pPr>
        <w:spacing w:after="0" w:line="240" w:lineRule="auto"/>
        <w:jc w:val="both"/>
        <w:rPr>
          <w:rFonts w:ascii="Arial" w:eastAsia="Times New Roman" w:hAnsi="Arial" w:cs="Arial"/>
          <w:b/>
          <w:color w:val="00B0F0"/>
          <w:sz w:val="24"/>
          <w:szCs w:val="24"/>
        </w:rPr>
      </w:pPr>
    </w:p>
    <w:p w14:paraId="2E395EFE" w14:textId="3C9304BD" w:rsidR="009E285A" w:rsidRPr="00467B64"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1"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5AF7E" id="Straight Connector 12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w:t>
      </w:r>
      <w:r w:rsidR="009E285A" w:rsidRPr="00467B64">
        <w:rPr>
          <w:rFonts w:ascii="Arial" w:eastAsia="Arial Narrow" w:hAnsi="Arial" w:cs="Arial"/>
          <w:b/>
          <w:bCs/>
          <w:color w:val="00A5E3"/>
          <w:position w:val="-1"/>
          <w:lang w:val="el-GR"/>
        </w:rPr>
        <w:t xml:space="preserve"> </w:t>
      </w:r>
      <w:r w:rsidR="009E285A" w:rsidRPr="00E94B28">
        <w:rPr>
          <w:rFonts w:ascii="Arial" w:eastAsia="Arial Narrow" w:hAnsi="Arial" w:cs="Arial"/>
          <w:b/>
          <w:bCs/>
          <w:color w:val="00A5E3"/>
          <w:position w:val="-1"/>
          <w:lang w:val="el-GR"/>
        </w:rPr>
        <w:t>Τηλεδιάσκεψης</w:t>
      </w:r>
    </w:p>
    <w:p w14:paraId="69FDFDC1" w14:textId="6CB1DAA7" w:rsidR="009E285A" w:rsidRPr="00467B64" w:rsidRDefault="004D4612"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Τετάρτη</w:t>
      </w:r>
      <w:r w:rsidR="009E285A" w:rsidRPr="00467B64">
        <w:rPr>
          <w:rFonts w:ascii="Arial" w:eastAsia="Arial Narrow" w:hAnsi="Arial" w:cs="Arial"/>
          <w:b/>
          <w:bCs/>
          <w:color w:val="00A5E3"/>
        </w:rPr>
        <w:t xml:space="preserve">, </w:t>
      </w:r>
      <w:r>
        <w:rPr>
          <w:rFonts w:ascii="Arial" w:eastAsia="Arial Narrow" w:hAnsi="Arial" w:cs="Arial"/>
          <w:b/>
          <w:bCs/>
          <w:color w:val="00A5E3"/>
        </w:rPr>
        <w:t>26 Φεβρουαρίου 2025</w:t>
      </w:r>
    </w:p>
    <w:p w14:paraId="33C234D7" w14:textId="154561D2"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881ECC">
        <w:rPr>
          <w:rFonts w:ascii="Tahoma" w:eastAsia="Arial Narrow" w:hAnsi="Tahoma" w:cs="Tahoma"/>
          <w:bCs/>
          <w:spacing w:val="1"/>
          <w:lang w:val="de-DE"/>
        </w:rPr>
        <w:t>13</w:t>
      </w:r>
      <w:r w:rsidRPr="00881ECC">
        <w:rPr>
          <w:rFonts w:ascii="Tahoma" w:eastAsia="Arial Narrow" w:hAnsi="Tahoma" w:cs="Tahoma"/>
          <w:bCs/>
          <w:lang w:val="de-DE"/>
        </w:rPr>
        <w:t xml:space="preserve">:00pm </w:t>
      </w:r>
      <w:r w:rsidRPr="00881ECC">
        <w:rPr>
          <w:rFonts w:ascii="Arial" w:eastAsia="Arial Narrow" w:hAnsi="Arial" w:cs="Arial"/>
          <w:lang w:val="de-DE"/>
        </w:rPr>
        <w:t>(EEST), 11:00am (BST), 12:00pm (CEST), 0</w:t>
      </w:r>
      <w:r w:rsidR="004D1B04" w:rsidRPr="00881ECC">
        <w:rPr>
          <w:rFonts w:ascii="Arial" w:eastAsia="Arial Narrow" w:hAnsi="Arial" w:cs="Arial"/>
          <w:lang w:val="de-DE"/>
        </w:rPr>
        <w:t>6</w:t>
      </w:r>
      <w:r w:rsidRPr="00881ECC">
        <w:rPr>
          <w:rFonts w:ascii="Arial" w:eastAsia="Arial Narrow" w:hAnsi="Arial" w:cs="Arial"/>
          <w:lang w:val="de-DE"/>
        </w:rPr>
        <w:t>:00am (EDT)</w:t>
      </w:r>
    </w:p>
    <w:p w14:paraId="2D74456F" w14:textId="77777777" w:rsidR="009E285A" w:rsidRPr="00F547CC" w:rsidRDefault="009E285A" w:rsidP="0049637A">
      <w:pPr>
        <w:ind w:right="3457"/>
        <w:rPr>
          <w:rFonts w:ascii="Arial" w:eastAsia="Arial Narrow" w:hAnsi="Arial" w:cs="Arial"/>
          <w:spacing w:val="1"/>
        </w:rPr>
      </w:pPr>
      <w:r w:rsidRPr="00F547CC">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6C927CE5" w14:textId="77777777" w:rsidR="005D0797" w:rsidRPr="005D0797" w:rsidRDefault="009E285A" w:rsidP="005D0797">
      <w:pPr>
        <w:spacing w:before="100" w:beforeAutospacing="1"/>
        <w:rPr>
          <w:rFonts w:ascii="Arial" w:hAnsi="Arial" w:cs="Arial"/>
          <w:color w:val="000000"/>
          <w:sz w:val="20"/>
          <w:szCs w:val="20"/>
        </w:rPr>
      </w:pPr>
      <w:r w:rsidRPr="001113A8">
        <w:rPr>
          <w:rFonts w:ascii="Arial" w:eastAsia="Arial Narrow" w:hAnsi="Arial" w:cs="Arial"/>
          <w:kern w:val="2"/>
          <w14:ligatures w14:val="standardContextual"/>
        </w:rPr>
        <w:t xml:space="preserve">Η τηλεδιάσκεψη θα πραγματοποιηθεί σε πραγματικό χρόνο μετάδοσης μέσω διαδικτύου και μπορείτε να  εγγραφείτε μέσω σύνδεσης στο: </w:t>
      </w:r>
      <w:hyperlink r:id="rId14" w:history="1">
        <w:r w:rsidR="005D0797">
          <w:rPr>
            <w:rStyle w:val="Hyperlink"/>
            <w:rFonts w:ascii="Arial" w:hAnsi="Arial" w:cs="Arial"/>
            <w:sz w:val="20"/>
            <w:szCs w:val="20"/>
            <w:lang w:val="en"/>
          </w:rPr>
          <w:t>https</w:t>
        </w:r>
        <w:r w:rsidR="005D0797" w:rsidRPr="005D0797">
          <w:rPr>
            <w:rStyle w:val="Hyperlink"/>
            <w:rFonts w:ascii="Arial" w:hAnsi="Arial" w:cs="Arial"/>
            <w:sz w:val="20"/>
            <w:szCs w:val="20"/>
          </w:rPr>
          <w:t>://87399.</w:t>
        </w:r>
        <w:r w:rsidR="005D0797">
          <w:rPr>
            <w:rStyle w:val="Hyperlink"/>
            <w:rFonts w:ascii="Arial" w:hAnsi="Arial" w:cs="Arial"/>
            <w:sz w:val="20"/>
            <w:szCs w:val="20"/>
            <w:lang w:val="en"/>
          </w:rPr>
          <w:t>themediaframe</w:t>
        </w:r>
        <w:r w:rsidR="005D0797" w:rsidRPr="005D0797">
          <w:rPr>
            <w:rStyle w:val="Hyperlink"/>
            <w:rFonts w:ascii="Arial" w:hAnsi="Arial" w:cs="Arial"/>
            <w:sz w:val="20"/>
            <w:szCs w:val="20"/>
          </w:rPr>
          <w:t>.</w:t>
        </w:r>
        <w:r w:rsidR="005D0797">
          <w:rPr>
            <w:rStyle w:val="Hyperlink"/>
            <w:rFonts w:ascii="Arial" w:hAnsi="Arial" w:cs="Arial"/>
            <w:sz w:val="20"/>
            <w:szCs w:val="20"/>
            <w:lang w:val="en"/>
          </w:rPr>
          <w:t>eu</w:t>
        </w:r>
        <w:r w:rsidR="005D0797" w:rsidRPr="005D0797">
          <w:rPr>
            <w:rStyle w:val="Hyperlink"/>
            <w:rFonts w:ascii="Arial" w:hAnsi="Arial" w:cs="Arial"/>
            <w:sz w:val="20"/>
            <w:szCs w:val="20"/>
          </w:rPr>
          <w:t>/</w:t>
        </w:r>
        <w:r w:rsidR="005D0797">
          <w:rPr>
            <w:rStyle w:val="Hyperlink"/>
            <w:rFonts w:ascii="Arial" w:hAnsi="Arial" w:cs="Arial"/>
            <w:sz w:val="20"/>
            <w:szCs w:val="20"/>
            <w:lang w:val="en"/>
          </w:rPr>
          <w:t>links</w:t>
        </w:r>
        <w:r w:rsidR="005D0797" w:rsidRPr="005D0797">
          <w:rPr>
            <w:rStyle w:val="Hyperlink"/>
            <w:rFonts w:ascii="Arial" w:hAnsi="Arial" w:cs="Arial"/>
            <w:sz w:val="20"/>
            <w:szCs w:val="20"/>
          </w:rPr>
          <w:t>/</w:t>
        </w:r>
        <w:r w:rsidR="005D0797">
          <w:rPr>
            <w:rStyle w:val="Hyperlink"/>
            <w:rFonts w:ascii="Arial" w:hAnsi="Arial" w:cs="Arial"/>
            <w:sz w:val="20"/>
            <w:szCs w:val="20"/>
            <w:lang w:val="en"/>
          </w:rPr>
          <w:t>otegroup</w:t>
        </w:r>
        <w:r w:rsidR="005D0797" w:rsidRPr="005D0797">
          <w:rPr>
            <w:rStyle w:val="Hyperlink"/>
            <w:rFonts w:ascii="Arial" w:hAnsi="Arial" w:cs="Arial"/>
            <w:sz w:val="20"/>
            <w:szCs w:val="20"/>
          </w:rPr>
          <w:t>250226.</w:t>
        </w:r>
        <w:r w:rsidR="005D0797">
          <w:rPr>
            <w:rStyle w:val="Hyperlink"/>
            <w:rFonts w:ascii="Arial" w:hAnsi="Arial" w:cs="Arial"/>
            <w:sz w:val="20"/>
            <w:szCs w:val="20"/>
            <w:lang w:val="en"/>
          </w:rPr>
          <w:t>html</w:t>
        </w:r>
      </w:hyperlink>
      <w:r w:rsidR="005D0797" w:rsidRPr="005D0797">
        <w:rPr>
          <w:rFonts w:ascii="Arial" w:hAnsi="Arial" w:cs="Arial"/>
          <w:color w:val="000000"/>
          <w:sz w:val="20"/>
          <w:szCs w:val="20"/>
        </w:rPr>
        <w:t xml:space="preserve"> </w:t>
      </w:r>
    </w:p>
    <w:p w14:paraId="2A403A97" w14:textId="4ACE548D" w:rsidR="009E285A" w:rsidRPr="00DB62B3" w:rsidRDefault="009E285A" w:rsidP="005D0797">
      <w:pPr>
        <w:spacing w:before="30" w:after="120"/>
        <w:ind w:right="-20"/>
        <w:jc w:val="both"/>
        <w:rPr>
          <w:rFonts w:ascii="Arial" w:eastAsia="Arial Narrow" w:hAnsi="Arial" w:cs="Arial"/>
          <w:kern w:val="2"/>
          <w14:ligatures w14:val="standardContextual"/>
        </w:rPr>
      </w:pPr>
    </w:p>
    <w:p w14:paraId="7D148067" w14:textId="69D68D32"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rPr>
        <mc:AlternateContent>
          <mc:Choice Requires="wps">
            <w:drawing>
              <wp:anchor distT="0" distB="0" distL="114300" distR="114300" simplePos="0" relativeHeight="251658242"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CBE1F" id="Straight Connector 13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0556800E"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sidR="00E9726B">
        <w:rPr>
          <w:rFonts w:ascii="Arial" w:eastAsia="Calibri" w:hAnsi="Arial" w:cs="Arial"/>
          <w:kern w:val="2"/>
          <w14:ligatures w14:val="standardContextual"/>
        </w:rPr>
        <w:t>1</w:t>
      </w:r>
      <w:r w:rsidRPr="00552D79">
        <w:rPr>
          <w:rFonts w:ascii="Arial" w:eastAsia="Calibri" w:hAnsi="Arial" w:cs="Arial"/>
          <w:kern w:val="2"/>
          <w:vertAlign w:val="superscript"/>
          <w14:ligatures w14:val="standardContextual"/>
        </w:rPr>
        <w:t xml:space="preserve">ης </w:t>
      </w:r>
      <w:r w:rsidR="00E9726B">
        <w:rPr>
          <w:rFonts w:ascii="Arial" w:eastAsia="Calibri" w:hAnsi="Arial" w:cs="Arial"/>
          <w:bCs/>
          <w:kern w:val="2"/>
          <w14:ligatures w14:val="standardContextual"/>
        </w:rPr>
        <w:t>Δεκεμβρίου</w:t>
      </w:r>
      <w:r w:rsidR="003F0920">
        <w:rPr>
          <w:rFonts w:ascii="Arial" w:eastAsia="Calibri" w:hAnsi="Arial" w:cs="Arial"/>
          <w:bCs/>
          <w:kern w:val="2"/>
          <w14:ligatures w14:val="standardContextual"/>
        </w:rPr>
        <w:t xml:space="preserve">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C754D">
        <w:rPr>
          <w:rFonts w:ascii="Arial" w:eastAsia="Calibri" w:hAnsi="Arial" w:cs="Arial"/>
          <w:bCs/>
          <w:kern w:val="2"/>
          <w14:ligatures w14:val="standardContextual"/>
        </w:rPr>
        <w:t>3</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60F6C8E8"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 xml:space="preserve">Ενοποιημένη Κατάσταση Αποτελεσμάτων για το τρίμηνο που έληξε στις </w:t>
      </w:r>
      <w:r w:rsidR="00E9726B" w:rsidRPr="00552D79">
        <w:rPr>
          <w:rFonts w:ascii="Arial" w:eastAsia="Calibri" w:hAnsi="Arial" w:cs="Arial"/>
          <w:kern w:val="2"/>
          <w14:ligatures w14:val="standardContextual"/>
        </w:rPr>
        <w:t>3</w:t>
      </w:r>
      <w:r w:rsidR="00E9726B">
        <w:rPr>
          <w:rFonts w:ascii="Arial" w:eastAsia="Calibri" w:hAnsi="Arial" w:cs="Arial"/>
          <w:kern w:val="2"/>
          <w14:ligatures w14:val="standardContextual"/>
        </w:rPr>
        <w:t>1</w:t>
      </w:r>
      <w:r w:rsidR="00E9726B" w:rsidRPr="00552D79">
        <w:rPr>
          <w:rFonts w:ascii="Arial" w:eastAsia="Calibri" w:hAnsi="Arial" w:cs="Arial"/>
          <w:kern w:val="2"/>
          <w:vertAlign w:val="superscript"/>
          <w14:ligatures w14:val="standardContextual"/>
        </w:rPr>
        <w:t xml:space="preserve"> </w:t>
      </w:r>
      <w:r w:rsidR="00E9726B">
        <w:rPr>
          <w:rFonts w:ascii="Arial" w:eastAsia="Calibri" w:hAnsi="Arial" w:cs="Arial"/>
          <w:bCs/>
          <w:kern w:val="2"/>
          <w14:ligatures w14:val="standardContextual"/>
        </w:rPr>
        <w:t xml:space="preserve">Δεκεμβρίου </w:t>
      </w:r>
      <w:r w:rsidR="00E9726B" w:rsidRPr="00552D79">
        <w:rPr>
          <w:rFonts w:ascii="Arial" w:eastAsia="Calibri" w:hAnsi="Arial" w:cs="Arial"/>
          <w:bCs/>
          <w:kern w:val="2"/>
          <w14:ligatures w14:val="standardContextual"/>
        </w:rPr>
        <w:t>202</w:t>
      </w:r>
      <w:r w:rsidR="00E9726B">
        <w:rPr>
          <w:rFonts w:ascii="Arial" w:eastAsia="Calibri" w:hAnsi="Arial" w:cs="Arial"/>
          <w:bCs/>
          <w:kern w:val="2"/>
          <w14:ligatures w14:val="standardContextual"/>
        </w:rPr>
        <w:t>4</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D57EBC4" w14:textId="14450E31" w:rsidR="00ED5F91"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 xml:space="preserve">που έληξε στις </w:t>
      </w:r>
      <w:r w:rsidR="00E9726B" w:rsidRPr="00552D79">
        <w:rPr>
          <w:rFonts w:ascii="Arial" w:eastAsia="Calibri" w:hAnsi="Arial" w:cs="Arial"/>
          <w:kern w:val="2"/>
          <w14:ligatures w14:val="standardContextual"/>
        </w:rPr>
        <w:t>3</w:t>
      </w:r>
      <w:r w:rsidR="00E9726B">
        <w:rPr>
          <w:rFonts w:ascii="Arial" w:eastAsia="Calibri" w:hAnsi="Arial" w:cs="Arial"/>
          <w:kern w:val="2"/>
          <w14:ligatures w14:val="standardContextual"/>
        </w:rPr>
        <w:t>1</w:t>
      </w:r>
      <w:r w:rsidR="00E9726B" w:rsidRPr="00552D79">
        <w:rPr>
          <w:rFonts w:ascii="Arial" w:eastAsia="Calibri" w:hAnsi="Arial" w:cs="Arial"/>
          <w:kern w:val="2"/>
          <w:vertAlign w:val="superscript"/>
          <w14:ligatures w14:val="standardContextual"/>
        </w:rPr>
        <w:t xml:space="preserve"> </w:t>
      </w:r>
      <w:r w:rsidR="00E9726B">
        <w:rPr>
          <w:rFonts w:ascii="Arial" w:eastAsia="Calibri" w:hAnsi="Arial" w:cs="Arial"/>
          <w:bCs/>
          <w:kern w:val="2"/>
          <w14:ligatures w14:val="standardContextual"/>
        </w:rPr>
        <w:t xml:space="preserve">Δεκεμβρίου </w:t>
      </w:r>
      <w:r w:rsidR="00E9726B" w:rsidRPr="00552D79">
        <w:rPr>
          <w:rFonts w:ascii="Arial" w:eastAsia="Calibri" w:hAnsi="Arial" w:cs="Arial"/>
          <w:bCs/>
          <w:kern w:val="2"/>
          <w14:ligatures w14:val="standardContextual"/>
        </w:rPr>
        <w:t>202</w:t>
      </w:r>
      <w:r w:rsidR="00E9726B">
        <w:rPr>
          <w:rFonts w:ascii="Arial" w:eastAsia="Calibri" w:hAnsi="Arial" w:cs="Arial"/>
          <w:bCs/>
          <w:kern w:val="2"/>
          <w14:ligatures w14:val="standardContextual"/>
        </w:rPr>
        <w:t>4</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0974ACB" w14:textId="2F83F81F" w:rsidR="003E408D" w:rsidRPr="00051E74" w:rsidRDefault="00ED5F91" w:rsidP="003E408D">
      <w:pPr>
        <w:spacing w:after="0" w:line="240" w:lineRule="auto"/>
        <w:jc w:val="both"/>
        <w:rPr>
          <w:rFonts w:ascii="Arial" w:eastAsia="Times New Roman" w:hAnsi="Arial" w:cs="Arial"/>
          <w:b/>
          <w:color w:val="00B0F0"/>
          <w:sz w:val="24"/>
          <w:szCs w:val="24"/>
        </w:rPr>
      </w:pPr>
      <w:r>
        <w:rPr>
          <w:rFonts w:ascii="Arial" w:eastAsia="Calibri" w:hAnsi="Arial" w:cs="Arial"/>
          <w:bCs/>
          <w:kern w:val="2"/>
          <w14:ligatures w14:val="standardContextual"/>
        </w:rPr>
        <w:br w:type="page"/>
      </w:r>
      <w:r w:rsidR="003E408D" w:rsidRPr="003E408D">
        <w:rPr>
          <w:rFonts w:ascii="Arial" w:eastAsia="Times New Roman" w:hAnsi="Arial" w:cs="Arial"/>
          <w:b/>
          <w:color w:val="00B0F0"/>
          <w:sz w:val="24"/>
          <w:szCs w:val="24"/>
        </w:rPr>
        <w:lastRenderedPageBreak/>
        <w:t xml:space="preserve">Ι. </w:t>
      </w:r>
      <w:r w:rsidR="003E408D">
        <w:rPr>
          <w:rFonts w:ascii="Arial" w:eastAsia="Times New Roman" w:hAnsi="Arial" w:cs="Arial"/>
          <w:b/>
          <w:color w:val="00B0F0"/>
          <w:sz w:val="24"/>
          <w:szCs w:val="24"/>
        </w:rPr>
        <w:t xml:space="preserve">ΕΝΑΛΛΑΚΤΙΚΟΙ ΔΕΙΚΤΕΣ ΜΕΤΡΗΣΗΣ ΑΠΟΔΟΣΗΣ </w:t>
      </w:r>
    </w:p>
    <w:p w14:paraId="371D14DB" w14:textId="77777777" w:rsidR="003E408D" w:rsidRPr="00806D3A" w:rsidRDefault="003E408D" w:rsidP="003E408D">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9" behindDoc="0" locked="0" layoutInCell="1" allowOverlap="1" wp14:anchorId="6818F6FB" wp14:editId="20C7DEEA">
                <wp:simplePos x="0" y="0"/>
                <wp:positionH relativeFrom="column">
                  <wp:posOffset>2752</wp:posOffset>
                </wp:positionH>
                <wp:positionV relativeFrom="paragraph">
                  <wp:posOffset>11642</wp:posOffset>
                </wp:positionV>
                <wp:extent cx="664083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EA39B" id="Straight Connector 2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35F3FC8" w14:textId="4752C52A" w:rsidR="009E285A" w:rsidRPr="00640F65" w:rsidRDefault="009E285A" w:rsidP="00DF789D">
      <w:pPr>
        <w:jc w:val="both"/>
        <w:rPr>
          <w:rFonts w:ascii="Arial" w:hAnsi="Arial" w:cs="Arial"/>
          <w:sz w:val="10"/>
          <w:szCs w:val="10"/>
        </w:rPr>
      </w:pPr>
      <w:bookmarkStart w:id="4" w:name="_Hlk127543148"/>
      <w:bookmarkStart w:id="5" w:name="APM"/>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w:t>
      </w:r>
      <w:r w:rsidRPr="00537848">
        <w:rPr>
          <w:rFonts w:ascii="Arial" w:hAnsi="Arial" w:cs="Arial"/>
        </w:rPr>
        <w:t xml:space="preserve">ροών. </w:t>
      </w:r>
      <w:r w:rsidR="00D539EA" w:rsidRPr="00A229D6">
        <w:rPr>
          <w:rFonts w:ascii="Arial" w:hAnsi="Arial" w:cs="Arial"/>
        </w:rPr>
        <w:t xml:space="preserve">Οι ΕΔΜΑ καθώς και οι αντίστοιχοι προσαρμοσμένοι δείκτες υπολογίζονται </w:t>
      </w:r>
      <w:r w:rsidR="00A229D6" w:rsidRPr="00A229D6">
        <w:rPr>
          <w:rFonts w:ascii="Arial" w:hAnsi="Arial" w:cs="Arial"/>
        </w:rPr>
        <w:t>χρησιμοποιώντας τα ποσά από τ</w:t>
      </w:r>
      <w:r w:rsidR="00A229D6" w:rsidRPr="0008748C">
        <w:rPr>
          <w:rFonts w:ascii="Arial" w:hAnsi="Arial" w:cs="Arial"/>
        </w:rPr>
        <w:t>ις χρηματοοικονομικές καταστάσεις του Ομίλου καθώς και τα παρακάτω στοιχεία</w:t>
      </w:r>
      <w:r w:rsidR="00D539EA" w:rsidRPr="00537848">
        <w:rPr>
          <w:rFonts w:ascii="Arial" w:hAnsi="Arial" w:cs="Arial"/>
        </w:rPr>
        <w:t>, τα οποία λόγω της φύσης τους επηρεάζουν την συγκρισιμότητα των μεγεθών</w:t>
      </w:r>
      <w:r w:rsidR="007641F3" w:rsidRPr="00537848">
        <w:rPr>
          <w:rFonts w:ascii="Arial" w:hAnsi="Arial" w:cs="Arial"/>
        </w:rPr>
        <w:t>.</w:t>
      </w:r>
      <w:r w:rsidRPr="00537848">
        <w:rPr>
          <w:rFonts w:ascii="Arial" w:hAnsi="Arial" w:cs="Arial"/>
        </w:rPr>
        <w:t xml:space="preserve"> Δεδομένου ότι αυτά τα κόστη ή οι καταβολές είναι σημαντικού μεγέθους και μη περιοδικά, είναι κοινή πρακτική του κλάδου να εξαιρούνται</w:t>
      </w:r>
      <w:r w:rsidRPr="00C25ECC">
        <w:rPr>
          <w:rFonts w:ascii="Arial" w:hAnsi="Arial" w:cs="Arial"/>
        </w:rPr>
        <w:t xml:space="preserve">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bookmarkEnd w:id="4"/>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bookmarkStart w:id="6" w:name="VES"/>
      <w:bookmarkEnd w:id="5"/>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bookmarkEnd w:id="6"/>
      <w:r w:rsidRPr="00640F65">
        <w:rPr>
          <w:rFonts w:ascii="Arial" w:hAnsi="Arial" w:cs="Arial"/>
          <w:b/>
          <w:color w:val="004B87"/>
          <w:sz w:val="22"/>
          <w:szCs w:val="22"/>
          <w:u w:val="single"/>
          <w:lang w:val="el-GR"/>
        </w:rPr>
        <w:t>:</w:t>
      </w:r>
      <w:r w:rsidRPr="00AC512E">
        <w:rPr>
          <w:rFonts w:ascii="Arial" w:hAnsi="Arial" w:cs="Arial"/>
          <w:b/>
          <w:color w:val="004B87"/>
          <w:sz w:val="22"/>
          <w:szCs w:val="22"/>
          <w:lang w:val="el-GR"/>
        </w:rPr>
        <w:t xml:space="preserve"> </w:t>
      </w:r>
      <w:bookmarkStart w:id="7"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Start w:id="8" w:name="OTHER"/>
      <w:bookmarkEnd w:id="7"/>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Pr="00C1017D"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bookmarkEnd w:id="8"/>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bookmarkStart w:id="9" w:name="SPECTRUM"/>
    </w:p>
    <w:p w14:paraId="6FDAEBE6" w14:textId="77777777" w:rsidR="00C1017D" w:rsidRPr="00C1017D" w:rsidRDefault="00C1017D" w:rsidP="00C1017D">
      <w:pPr>
        <w:pStyle w:val="ListParagraph"/>
        <w:rPr>
          <w:rFonts w:ascii="Arial" w:hAnsi="Arial" w:cs="Arial"/>
          <w:sz w:val="22"/>
          <w:szCs w:val="22"/>
          <w:lang w:val="el-GR"/>
        </w:rPr>
      </w:pPr>
    </w:p>
    <w:p w14:paraId="12CF56BC" w14:textId="014155D1" w:rsidR="00C1017D" w:rsidRDefault="00C1017D" w:rsidP="00C1017D">
      <w:pPr>
        <w:pStyle w:val="Default"/>
        <w:numPr>
          <w:ilvl w:val="0"/>
          <w:numId w:val="15"/>
        </w:numPr>
        <w:ind w:left="0" w:firstLine="0"/>
        <w:jc w:val="both"/>
        <w:rPr>
          <w:rFonts w:ascii="Arial" w:hAnsi="Arial" w:cs="Arial"/>
          <w:color w:val="auto"/>
          <w:sz w:val="22"/>
          <w:szCs w:val="22"/>
        </w:rPr>
      </w:pPr>
      <w:r w:rsidRPr="00537848">
        <w:rPr>
          <w:rFonts w:ascii="Arial" w:hAnsi="Arial" w:cs="Arial"/>
          <w:b/>
          <w:color w:val="004B87"/>
          <w:sz w:val="22"/>
          <w:szCs w:val="22"/>
          <w:u w:val="single"/>
        </w:rPr>
        <w:t>Κόστη</w:t>
      </w:r>
      <w:r w:rsidR="000750F4" w:rsidRPr="00537848">
        <w:rPr>
          <w:rFonts w:ascii="Arial" w:hAnsi="Arial" w:cs="Arial"/>
          <w:b/>
          <w:color w:val="004B87"/>
          <w:sz w:val="22"/>
          <w:szCs w:val="22"/>
          <w:u w:val="single"/>
        </w:rPr>
        <w:t xml:space="preserve"> </w:t>
      </w:r>
      <w:r w:rsidR="000750F4" w:rsidRPr="000750F4">
        <w:rPr>
          <w:rFonts w:ascii="Arial" w:hAnsi="Arial" w:cs="Arial"/>
          <w:b/>
          <w:color w:val="004B87"/>
          <w:sz w:val="22"/>
          <w:szCs w:val="22"/>
          <w:u w:val="single"/>
        </w:rPr>
        <w:t>ή καταβολές</w:t>
      </w:r>
      <w:r w:rsidRPr="00537848">
        <w:rPr>
          <w:rFonts w:ascii="Arial" w:hAnsi="Arial" w:cs="Arial"/>
          <w:b/>
          <w:color w:val="004B87"/>
          <w:sz w:val="22"/>
          <w:szCs w:val="22"/>
          <w:u w:val="single"/>
        </w:rPr>
        <w:t xml:space="preserve"> σχετιζόμενα με τον φορ/κο έλεγχο της TKRM για τις χρήσεις 2017-2021: </w:t>
      </w:r>
      <w:r w:rsidRPr="00537848">
        <w:rPr>
          <w:rFonts w:ascii="Arial" w:hAnsi="Arial" w:cs="Arial"/>
          <w:color w:val="auto"/>
          <w:sz w:val="22"/>
          <w:szCs w:val="22"/>
        </w:rPr>
        <w:t>Τα κόστη</w:t>
      </w:r>
      <w:r w:rsidRPr="00537848">
        <w:rPr>
          <w:rFonts w:ascii="Arial" w:hAnsi="Arial" w:cs="Arial"/>
          <w:sz w:val="22"/>
          <w:szCs w:val="22"/>
        </w:rPr>
        <w:t xml:space="preserve"> </w:t>
      </w:r>
      <w:r w:rsidR="000750F4" w:rsidRPr="00537848">
        <w:rPr>
          <w:rFonts w:ascii="Arial" w:hAnsi="Arial" w:cs="Arial"/>
          <w:sz w:val="22"/>
          <w:szCs w:val="22"/>
        </w:rPr>
        <w:t xml:space="preserve">ή </w:t>
      </w:r>
      <w:r w:rsidR="00E67895" w:rsidRPr="00537848">
        <w:rPr>
          <w:rFonts w:ascii="Arial" w:hAnsi="Arial" w:cs="Arial"/>
          <w:sz w:val="22"/>
          <w:szCs w:val="22"/>
        </w:rPr>
        <w:t>καταβολές</w:t>
      </w:r>
      <w:r w:rsidR="000750F4" w:rsidRPr="00537848">
        <w:rPr>
          <w:rFonts w:ascii="Arial" w:hAnsi="Arial" w:cs="Arial"/>
          <w:sz w:val="22"/>
          <w:szCs w:val="22"/>
        </w:rPr>
        <w:t xml:space="preserve"> </w:t>
      </w:r>
      <w:r w:rsidRPr="00537848">
        <w:rPr>
          <w:rFonts w:ascii="Arial" w:hAnsi="Arial" w:cs="Arial"/>
          <w:color w:val="auto"/>
          <w:sz w:val="22"/>
          <w:szCs w:val="22"/>
        </w:rPr>
        <w:t xml:space="preserve">που σχετίζονται με τον φορολογικό έλεγχο της Ρουμανίας περιλαμβάνουν πρόσθετες φορολογικές επιβαρύνσεις από </w:t>
      </w:r>
      <w:r w:rsidRPr="00537848">
        <w:rPr>
          <w:rFonts w:ascii="Arial" w:eastAsiaTheme="minorHAnsi" w:hAnsi="Arial" w:cs="Arial"/>
          <w:sz w:val="22"/>
          <w:szCs w:val="22"/>
          <w14:ligatures w14:val="standardContextual"/>
        </w:rPr>
        <w:t>εσφαλμένους υπολογισμούς ΦΠΑ και φόρου εισοδήματος εταιρειών</w:t>
      </w:r>
      <w:r w:rsidRPr="00537848">
        <w:rPr>
          <w:rFonts w:ascii="Arial" w:hAnsi="Arial" w:cs="Arial"/>
          <w:color w:val="auto"/>
          <w:sz w:val="22"/>
          <w:szCs w:val="22"/>
        </w:rPr>
        <w:t xml:space="preserve">, οι οποίες επιβλήθηκαν από τη ρουμανική φορολογική αρχή (ANAF) μετά τον φορολογικό έλεγχο </w:t>
      </w:r>
      <w:r w:rsidR="000750F4" w:rsidRPr="00537848">
        <w:rPr>
          <w:rFonts w:ascii="Arial" w:hAnsi="Arial" w:cs="Arial"/>
          <w:color w:val="auto"/>
          <w:sz w:val="22"/>
          <w:szCs w:val="22"/>
        </w:rPr>
        <w:t>των</w:t>
      </w:r>
      <w:r w:rsidRPr="00537848">
        <w:rPr>
          <w:rFonts w:ascii="Arial" w:hAnsi="Arial" w:cs="Arial"/>
          <w:color w:val="auto"/>
          <w:sz w:val="22"/>
          <w:szCs w:val="22"/>
        </w:rPr>
        <w:t xml:space="preserve"> </w:t>
      </w:r>
      <w:r w:rsidR="000750F4" w:rsidRPr="00537848">
        <w:rPr>
          <w:rFonts w:ascii="Arial" w:hAnsi="Arial" w:cs="Arial"/>
          <w:color w:val="auto"/>
          <w:sz w:val="22"/>
          <w:szCs w:val="22"/>
        </w:rPr>
        <w:t xml:space="preserve">οικονομικών χρήσεων </w:t>
      </w:r>
      <w:r w:rsidRPr="00537848">
        <w:rPr>
          <w:rFonts w:ascii="Arial" w:hAnsi="Arial" w:cs="Arial"/>
          <w:color w:val="auto"/>
          <w:sz w:val="22"/>
          <w:szCs w:val="22"/>
        </w:rPr>
        <w:t>2017-2021.</w:t>
      </w:r>
    </w:p>
    <w:p w14:paraId="624003B8" w14:textId="77777777" w:rsidR="000750F4" w:rsidRPr="000750F4" w:rsidRDefault="000750F4" w:rsidP="00537848">
      <w:pPr>
        <w:pStyle w:val="Default"/>
        <w:jc w:val="both"/>
        <w:rPr>
          <w:rFonts w:ascii="Arial" w:hAnsi="Arial" w:cs="Arial"/>
          <w:color w:val="auto"/>
          <w:sz w:val="22"/>
          <w:szCs w:val="22"/>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bookmarkEnd w:id="9"/>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eastAsia="el-GR"/>
        </w:rPr>
        <mc:AlternateContent>
          <mc:Choice Requires="wps">
            <w:drawing>
              <wp:anchor distT="0" distB="0" distL="114300" distR="114300" simplePos="0" relativeHeight="251658240"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27" style="position:absolute;margin-left:1.3pt;margin-top:-7.05pt;width:593.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&#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Gw/MVt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10" w:name="_Hlk126245861"/>
      <w:r w:rsidRPr="004C7B8A">
        <w:rPr>
          <w:rFonts w:ascii="Arial" w:eastAsia="Times New Roman" w:hAnsi="Arial" w:cs="Arial"/>
          <w:b/>
          <w:color w:val="004B87"/>
        </w:rPr>
        <w:t xml:space="preserve">Καθαρός Δανεισμός </w:t>
      </w:r>
    </w:p>
    <w:p w14:paraId="522CC167" w14:textId="50441867" w:rsidR="009E285A" w:rsidRPr="001D7A36" w:rsidRDefault="009E285A" w:rsidP="001473A8">
      <w:pPr>
        <w:spacing w:line="280" w:lineRule="exact"/>
        <w:jc w:val="both"/>
        <w:rPr>
          <w:rFonts w:ascii="Arial" w:eastAsia="Times New Roman" w:hAnsi="Arial" w:cs="Arial"/>
        </w:rPr>
      </w:pPr>
      <w:r w:rsidRPr="0022549B">
        <w:rPr>
          <w:rFonts w:ascii="Arial" w:eastAsia="Times New Roman" w:hAnsi="Arial" w:cs="Arial"/>
          <w:lang w:val="en-US"/>
        </w:rPr>
        <w:t>O</w:t>
      </w:r>
      <w:r w:rsidRPr="001D7A36">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μόχλευσης. Ο καθαρός δανεισμός υπολογίζεται προσθέτοντας στα μακροπρόθεσμα δάνεια, το βραχυπρόθεσμο</w:t>
      </w:r>
      <w:r w:rsidR="001473A8" w:rsidRPr="001473A8">
        <w:rPr>
          <w:rFonts w:ascii="Arial" w:eastAsia="Times New Roman" w:hAnsi="Arial" w:cs="Arial"/>
        </w:rPr>
        <w:t xml:space="preserve"> </w:t>
      </w:r>
      <w:r w:rsidRPr="001D7A36">
        <w:rPr>
          <w:rFonts w:ascii="Arial" w:eastAsia="Times New Roman" w:hAnsi="Arial" w:cs="Arial"/>
        </w:rPr>
        <w:t>μέρος μακροπρόθεσμων δανείων,</w:t>
      </w:r>
      <w:r w:rsidR="001473A8" w:rsidRPr="001473A8">
        <w:rPr>
          <w:rFonts w:ascii="Arial" w:eastAsia="Times New Roman" w:hAnsi="Arial" w:cs="Arial"/>
        </w:rPr>
        <w:t xml:space="preserve"> </w:t>
      </w:r>
      <w:r w:rsidRPr="001D7A36">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p>
    <w:p w14:paraId="47BD915D" w14:textId="77777777" w:rsidR="00386EA0" w:rsidRPr="004C7B8A" w:rsidRDefault="00386EA0" w:rsidP="0022549B">
      <w:pPr>
        <w:spacing w:after="0" w:line="240" w:lineRule="auto"/>
        <w:jc w:val="both"/>
        <w:rPr>
          <w:rFonts w:ascii="Arial" w:eastAsia="Times New Roman" w:hAnsi="Arial" w:cs="Arial"/>
        </w:rPr>
      </w:pPr>
    </w:p>
    <w:p w14:paraId="7424D9A6" w14:textId="77777777" w:rsidR="0022549B" w:rsidRPr="004C7B8A" w:rsidRDefault="0022549B" w:rsidP="0022549B">
      <w:pPr>
        <w:spacing w:after="0" w:line="240" w:lineRule="auto"/>
        <w:jc w:val="both"/>
        <w:rPr>
          <w:rFonts w:ascii="Arial" w:eastAsia="Times New Roman" w:hAnsi="Arial" w:cs="Arial"/>
        </w:rPr>
      </w:pPr>
    </w:p>
    <w:bookmarkEnd w:id="10"/>
    <w:p w14:paraId="09886029"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0A2A4CD7" w14:textId="77777777" w:rsidR="007D3E42" w:rsidRDefault="007D3E42" w:rsidP="00413DFC">
      <w:pPr>
        <w:pStyle w:val="ListParagraph"/>
        <w:tabs>
          <w:tab w:val="left" w:pos="0"/>
        </w:tabs>
        <w:ind w:left="0"/>
        <w:jc w:val="both"/>
        <w:rPr>
          <w:rFonts w:ascii="Arial" w:hAnsi="Arial" w:cs="Arial"/>
          <w:b/>
          <w:color w:val="004B87"/>
          <w:sz w:val="22"/>
          <w:szCs w:val="22"/>
          <w:lang w:val="el-GR"/>
        </w:rPr>
      </w:pPr>
    </w:p>
    <w:tbl>
      <w:tblPr>
        <w:tblStyle w:val="TableGrid"/>
        <w:tblW w:w="10558"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736"/>
        <w:gridCol w:w="1911"/>
        <w:gridCol w:w="1911"/>
      </w:tblGrid>
      <w:tr w:rsidR="00E93819" w:rsidRPr="00452CE7" w14:paraId="177FEC44" w14:textId="77777777" w:rsidTr="00E93819">
        <w:trPr>
          <w:trHeight w:val="341"/>
        </w:trPr>
        <w:tc>
          <w:tcPr>
            <w:tcW w:w="6736" w:type="dxa"/>
            <w:tcBorders>
              <w:top w:val="single" w:sz="2" w:space="0" w:color="808080" w:themeColor="background1" w:themeShade="80"/>
              <w:bottom w:val="single" w:sz="2" w:space="0" w:color="808080" w:themeColor="background1" w:themeShade="80"/>
            </w:tcBorders>
            <w:vAlign w:val="center"/>
          </w:tcPr>
          <w:p w14:paraId="22658231" w14:textId="5BC78F23" w:rsidR="00E93819" w:rsidRPr="007E2F7E" w:rsidRDefault="00E93819" w:rsidP="00E93819">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lastRenderedPageBreak/>
              <w:t>Όμιλος - (Ευρώ εκατ.)</w:t>
            </w:r>
          </w:p>
        </w:tc>
        <w:tc>
          <w:tcPr>
            <w:tcW w:w="1911" w:type="dxa"/>
            <w:tcBorders>
              <w:top w:val="single" w:sz="2" w:space="0" w:color="808080" w:themeColor="background1" w:themeShade="80"/>
              <w:bottom w:val="single" w:sz="2" w:space="0" w:color="808080" w:themeColor="background1" w:themeShade="80"/>
            </w:tcBorders>
            <w:vAlign w:val="center"/>
          </w:tcPr>
          <w:p w14:paraId="40D15B3E"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color w:val="000000" w:themeColor="text1"/>
                <w:sz w:val="18"/>
                <w:szCs w:val="18"/>
              </w:rPr>
              <w:t>31/12/2024</w:t>
            </w:r>
          </w:p>
        </w:tc>
        <w:tc>
          <w:tcPr>
            <w:tcW w:w="1911" w:type="dxa"/>
            <w:tcBorders>
              <w:top w:val="single" w:sz="2" w:space="0" w:color="808080" w:themeColor="background1" w:themeShade="80"/>
              <w:bottom w:val="single" w:sz="2" w:space="0" w:color="808080" w:themeColor="background1" w:themeShade="80"/>
            </w:tcBorders>
            <w:vAlign w:val="center"/>
          </w:tcPr>
          <w:p w14:paraId="3AA643B3"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color w:val="000000" w:themeColor="text1"/>
                <w:sz w:val="18"/>
                <w:szCs w:val="18"/>
              </w:rPr>
              <w:t>31/12/2023</w:t>
            </w:r>
          </w:p>
        </w:tc>
      </w:tr>
      <w:tr w:rsidR="00E93819" w:rsidRPr="00452CE7" w14:paraId="643CC7B4" w14:textId="77777777" w:rsidTr="00E93819">
        <w:trPr>
          <w:trHeight w:val="284"/>
        </w:trPr>
        <w:tc>
          <w:tcPr>
            <w:tcW w:w="6736" w:type="dxa"/>
            <w:tcBorders>
              <w:top w:val="single" w:sz="2" w:space="0" w:color="808080" w:themeColor="background1" w:themeShade="80"/>
            </w:tcBorders>
            <w:shd w:val="clear" w:color="auto" w:fill="FFFFFF" w:themeFill="background1"/>
            <w:vAlign w:val="center"/>
          </w:tcPr>
          <w:p w14:paraId="605985F3" w14:textId="11CB2AA7" w:rsidR="00E93819" w:rsidRPr="007E2F7E" w:rsidRDefault="00E93819" w:rsidP="00E93819">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Μακροπρόθεσμα δάνεια</w:t>
            </w:r>
          </w:p>
        </w:tc>
        <w:tc>
          <w:tcPr>
            <w:tcW w:w="1911" w:type="dxa"/>
            <w:tcBorders>
              <w:top w:val="single" w:sz="2" w:space="0" w:color="808080" w:themeColor="background1" w:themeShade="80"/>
            </w:tcBorders>
            <w:shd w:val="clear" w:color="auto" w:fill="FFFFFF" w:themeFill="background1"/>
            <w:vAlign w:val="center"/>
          </w:tcPr>
          <w:p w14:paraId="5430309E" w14:textId="4E1169D0"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848</w:t>
            </w:r>
            <w:r w:rsidR="00084951">
              <w:rPr>
                <w:rFonts w:ascii="Arial" w:hAnsi="Arial" w:cs="Arial"/>
                <w:color w:val="000000" w:themeColor="text1"/>
                <w:sz w:val="18"/>
                <w:szCs w:val="18"/>
              </w:rPr>
              <w:t>,</w:t>
            </w:r>
            <w:r w:rsidRPr="007E2F7E">
              <w:rPr>
                <w:rFonts w:ascii="Arial" w:hAnsi="Arial" w:cs="Arial"/>
                <w:color w:val="000000" w:themeColor="text1"/>
                <w:sz w:val="18"/>
                <w:szCs w:val="18"/>
              </w:rPr>
              <w:t>5</w:t>
            </w:r>
          </w:p>
        </w:tc>
        <w:tc>
          <w:tcPr>
            <w:tcW w:w="1911" w:type="dxa"/>
            <w:tcBorders>
              <w:top w:val="single" w:sz="2" w:space="0" w:color="808080" w:themeColor="background1" w:themeShade="80"/>
            </w:tcBorders>
            <w:shd w:val="clear" w:color="auto" w:fill="FFFFFF" w:themeFill="background1"/>
            <w:vAlign w:val="center"/>
          </w:tcPr>
          <w:p w14:paraId="57C60F10" w14:textId="002261EE"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847</w:t>
            </w:r>
            <w:r w:rsidR="00084951">
              <w:rPr>
                <w:rFonts w:ascii="Arial" w:hAnsi="Arial" w:cs="Arial"/>
                <w:color w:val="000000" w:themeColor="text1"/>
                <w:sz w:val="18"/>
                <w:szCs w:val="18"/>
              </w:rPr>
              <w:t>,</w:t>
            </w:r>
            <w:r w:rsidRPr="007E2F7E">
              <w:rPr>
                <w:rFonts w:ascii="Arial" w:hAnsi="Arial" w:cs="Arial"/>
                <w:color w:val="000000" w:themeColor="text1"/>
                <w:sz w:val="18"/>
                <w:szCs w:val="18"/>
              </w:rPr>
              <w:t>7</w:t>
            </w:r>
          </w:p>
        </w:tc>
      </w:tr>
      <w:tr w:rsidR="00E93819" w:rsidRPr="00452CE7" w14:paraId="78AFC0CC" w14:textId="77777777" w:rsidTr="00E93819">
        <w:trPr>
          <w:trHeight w:val="284"/>
        </w:trPr>
        <w:tc>
          <w:tcPr>
            <w:tcW w:w="6736" w:type="dxa"/>
            <w:shd w:val="clear" w:color="auto" w:fill="FFFFFF" w:themeFill="background1"/>
            <w:vAlign w:val="center"/>
          </w:tcPr>
          <w:p w14:paraId="2AFD3402" w14:textId="3A300297" w:rsidR="00E93819" w:rsidRPr="007E2F7E" w:rsidRDefault="00E93819" w:rsidP="00E93819">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Βραχυπρόθεσμο μέρος μακροπρόθεσμων δανείων</w:t>
            </w:r>
          </w:p>
        </w:tc>
        <w:tc>
          <w:tcPr>
            <w:tcW w:w="1911" w:type="dxa"/>
            <w:shd w:val="clear" w:color="auto" w:fill="FFFFFF" w:themeFill="background1"/>
            <w:vAlign w:val="center"/>
          </w:tcPr>
          <w:p w14:paraId="72455845"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c>
          <w:tcPr>
            <w:tcW w:w="1911" w:type="dxa"/>
            <w:shd w:val="clear" w:color="auto" w:fill="FFFFFF" w:themeFill="background1"/>
            <w:vAlign w:val="center"/>
          </w:tcPr>
          <w:p w14:paraId="695839D6"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r>
      <w:tr w:rsidR="00E93819" w:rsidRPr="00452CE7" w14:paraId="489C1C03" w14:textId="77777777" w:rsidTr="00E93819">
        <w:trPr>
          <w:trHeight w:val="284"/>
        </w:trPr>
        <w:tc>
          <w:tcPr>
            <w:tcW w:w="6736" w:type="dxa"/>
            <w:shd w:val="clear" w:color="auto" w:fill="FFFFFF" w:themeFill="background1"/>
            <w:vAlign w:val="center"/>
          </w:tcPr>
          <w:p w14:paraId="14D3572E" w14:textId="5EE01DFD" w:rsidR="00E93819" w:rsidRPr="007E2F7E" w:rsidRDefault="00E93819" w:rsidP="00E93819">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Βραχυπρόθεσμα δάνεια</w:t>
            </w:r>
          </w:p>
        </w:tc>
        <w:tc>
          <w:tcPr>
            <w:tcW w:w="1911" w:type="dxa"/>
            <w:shd w:val="clear" w:color="auto" w:fill="FFFFFF" w:themeFill="background1"/>
            <w:vAlign w:val="center"/>
          </w:tcPr>
          <w:p w14:paraId="33B87FD9"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c>
          <w:tcPr>
            <w:tcW w:w="1911" w:type="dxa"/>
            <w:shd w:val="clear" w:color="auto" w:fill="FFFFFF" w:themeFill="background1"/>
            <w:vAlign w:val="center"/>
          </w:tcPr>
          <w:p w14:paraId="480D7DB3"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r>
      <w:tr w:rsidR="00E93819" w:rsidRPr="00452CE7" w14:paraId="4ED37732" w14:textId="77777777" w:rsidTr="00E93819">
        <w:trPr>
          <w:trHeight w:val="284"/>
        </w:trPr>
        <w:tc>
          <w:tcPr>
            <w:tcW w:w="6736" w:type="dxa"/>
            <w:shd w:val="clear" w:color="auto" w:fill="FFFFFF" w:themeFill="background1"/>
            <w:vAlign w:val="bottom"/>
          </w:tcPr>
          <w:p w14:paraId="4D7E02E9" w14:textId="56EB6985"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shd w:val="clear" w:color="auto" w:fill="FFFFFF" w:themeFill="background1"/>
            <w:vAlign w:val="center"/>
          </w:tcPr>
          <w:p w14:paraId="0DB68937" w14:textId="054B5971"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189</w:t>
            </w:r>
            <w:r w:rsidR="00084951">
              <w:rPr>
                <w:rFonts w:ascii="Arial" w:hAnsi="Arial" w:cs="Arial"/>
                <w:color w:val="000000" w:themeColor="text1"/>
                <w:sz w:val="18"/>
                <w:szCs w:val="18"/>
              </w:rPr>
              <w:t>,</w:t>
            </w:r>
            <w:r w:rsidRPr="007E2F7E">
              <w:rPr>
                <w:rFonts w:ascii="Arial" w:hAnsi="Arial" w:cs="Arial"/>
                <w:color w:val="000000" w:themeColor="text1"/>
                <w:sz w:val="18"/>
                <w:szCs w:val="18"/>
              </w:rPr>
              <w:t>4</w:t>
            </w:r>
          </w:p>
        </w:tc>
        <w:tc>
          <w:tcPr>
            <w:tcW w:w="1911" w:type="dxa"/>
            <w:shd w:val="clear" w:color="auto" w:fill="FFFFFF" w:themeFill="background1"/>
            <w:vAlign w:val="center"/>
          </w:tcPr>
          <w:p w14:paraId="2EBAC990" w14:textId="0BDA1BB1"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184</w:t>
            </w:r>
            <w:r w:rsidR="00084951">
              <w:rPr>
                <w:rFonts w:ascii="Arial" w:hAnsi="Arial" w:cs="Arial"/>
                <w:color w:val="000000" w:themeColor="text1"/>
                <w:sz w:val="18"/>
                <w:szCs w:val="18"/>
              </w:rPr>
              <w:t>,</w:t>
            </w:r>
            <w:r w:rsidRPr="007E2F7E">
              <w:rPr>
                <w:rFonts w:ascii="Arial" w:hAnsi="Arial" w:cs="Arial"/>
                <w:color w:val="000000" w:themeColor="text1"/>
                <w:sz w:val="18"/>
                <w:szCs w:val="18"/>
              </w:rPr>
              <w:t>9</w:t>
            </w:r>
          </w:p>
        </w:tc>
      </w:tr>
      <w:tr w:rsidR="00E93819" w:rsidRPr="00452CE7" w14:paraId="14977077" w14:textId="77777777" w:rsidTr="00E93819">
        <w:trPr>
          <w:trHeight w:val="284"/>
        </w:trPr>
        <w:tc>
          <w:tcPr>
            <w:tcW w:w="6736" w:type="dxa"/>
            <w:shd w:val="clear" w:color="auto" w:fill="FFFFFF" w:themeFill="background1"/>
            <w:vAlign w:val="bottom"/>
          </w:tcPr>
          <w:p w14:paraId="4567B518" w14:textId="203C01C3"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shd w:val="clear" w:color="auto" w:fill="FFFFFF" w:themeFill="background1"/>
            <w:vAlign w:val="center"/>
          </w:tcPr>
          <w:p w14:paraId="45D11797" w14:textId="440BAC18"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63</w:t>
            </w:r>
            <w:r w:rsidR="00084951">
              <w:rPr>
                <w:rFonts w:ascii="Arial" w:hAnsi="Arial" w:cs="Arial"/>
                <w:color w:val="000000" w:themeColor="text1"/>
                <w:sz w:val="18"/>
                <w:szCs w:val="18"/>
              </w:rPr>
              <w:t>,</w:t>
            </w:r>
            <w:r w:rsidRPr="007E2F7E">
              <w:rPr>
                <w:rFonts w:ascii="Arial" w:hAnsi="Arial" w:cs="Arial"/>
                <w:color w:val="000000" w:themeColor="text1"/>
                <w:sz w:val="18"/>
                <w:szCs w:val="18"/>
              </w:rPr>
              <w:t>4</w:t>
            </w:r>
          </w:p>
        </w:tc>
        <w:tc>
          <w:tcPr>
            <w:tcW w:w="1911" w:type="dxa"/>
            <w:shd w:val="clear" w:color="auto" w:fill="FFFFFF" w:themeFill="background1"/>
            <w:vAlign w:val="center"/>
          </w:tcPr>
          <w:p w14:paraId="0182DE51" w14:textId="40BA8F49"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60</w:t>
            </w:r>
            <w:r w:rsidR="00084951">
              <w:rPr>
                <w:rFonts w:ascii="Arial" w:hAnsi="Arial" w:cs="Arial"/>
                <w:color w:val="000000" w:themeColor="text1"/>
                <w:sz w:val="18"/>
                <w:szCs w:val="18"/>
              </w:rPr>
              <w:t>,</w:t>
            </w:r>
            <w:r w:rsidRPr="007E2F7E">
              <w:rPr>
                <w:rFonts w:ascii="Arial" w:hAnsi="Arial" w:cs="Arial"/>
                <w:color w:val="000000" w:themeColor="text1"/>
                <w:sz w:val="18"/>
                <w:szCs w:val="18"/>
              </w:rPr>
              <w:t>8</w:t>
            </w:r>
          </w:p>
        </w:tc>
      </w:tr>
      <w:tr w:rsidR="00E93819" w:rsidRPr="00452CE7" w14:paraId="6E8F0F40" w14:textId="77777777" w:rsidTr="00E93819">
        <w:trPr>
          <w:trHeight w:val="284"/>
        </w:trPr>
        <w:tc>
          <w:tcPr>
            <w:tcW w:w="6736" w:type="dxa"/>
            <w:shd w:val="clear" w:color="auto" w:fill="FFFFFF" w:themeFill="background1"/>
            <w:vAlign w:val="center"/>
          </w:tcPr>
          <w:p w14:paraId="59E4F626" w14:textId="391C65A4"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shd w:val="clear" w:color="auto" w:fill="FFFFFF" w:themeFill="background1"/>
            <w:vAlign w:val="center"/>
          </w:tcPr>
          <w:p w14:paraId="09AC8AE6" w14:textId="3832F654"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9</w:t>
            </w:r>
            <w:r w:rsidR="00084951">
              <w:rPr>
                <w:rFonts w:ascii="Arial" w:hAnsi="Arial" w:cs="Arial"/>
                <w:color w:val="000000" w:themeColor="text1"/>
                <w:sz w:val="18"/>
                <w:szCs w:val="18"/>
              </w:rPr>
              <w:t>,</w:t>
            </w:r>
            <w:r w:rsidRPr="007E2F7E">
              <w:rPr>
                <w:rFonts w:ascii="Arial" w:hAnsi="Arial" w:cs="Arial"/>
                <w:color w:val="000000" w:themeColor="text1"/>
                <w:sz w:val="18"/>
                <w:szCs w:val="18"/>
              </w:rPr>
              <w:t>1</w:t>
            </w:r>
          </w:p>
        </w:tc>
        <w:tc>
          <w:tcPr>
            <w:tcW w:w="1911" w:type="dxa"/>
            <w:shd w:val="clear" w:color="auto" w:fill="FFFFFF" w:themeFill="background1"/>
            <w:vAlign w:val="center"/>
          </w:tcPr>
          <w:p w14:paraId="3B595E9A" w14:textId="045FA1D0"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5</w:t>
            </w:r>
            <w:r w:rsidR="00084951">
              <w:rPr>
                <w:rFonts w:ascii="Arial" w:hAnsi="Arial" w:cs="Arial"/>
                <w:color w:val="000000" w:themeColor="text1"/>
                <w:sz w:val="18"/>
                <w:szCs w:val="18"/>
              </w:rPr>
              <w:t>,</w:t>
            </w:r>
            <w:r w:rsidRPr="007E2F7E">
              <w:rPr>
                <w:rFonts w:ascii="Arial" w:hAnsi="Arial" w:cs="Arial"/>
                <w:color w:val="000000" w:themeColor="text1"/>
                <w:sz w:val="18"/>
                <w:szCs w:val="18"/>
              </w:rPr>
              <w:t>3</w:t>
            </w:r>
          </w:p>
        </w:tc>
      </w:tr>
      <w:tr w:rsidR="00E93819" w:rsidRPr="00452CE7" w14:paraId="5A5CA289" w14:textId="77777777" w:rsidTr="00E93819">
        <w:trPr>
          <w:trHeight w:val="284"/>
        </w:trPr>
        <w:tc>
          <w:tcPr>
            <w:tcW w:w="6736" w:type="dxa"/>
            <w:shd w:val="clear" w:color="auto" w:fill="FFFFFF" w:themeFill="background1"/>
            <w:vAlign w:val="center"/>
          </w:tcPr>
          <w:p w14:paraId="16D0260E" w14:textId="11740937"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shd w:val="clear" w:color="auto" w:fill="FFFFFF" w:themeFill="background1"/>
            <w:vAlign w:val="center"/>
          </w:tcPr>
          <w:p w14:paraId="661AE43D" w14:textId="229AF95F"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(467</w:t>
            </w:r>
            <w:r w:rsidR="00084951">
              <w:rPr>
                <w:rFonts w:ascii="Arial" w:hAnsi="Arial" w:cs="Arial"/>
                <w:color w:val="000000" w:themeColor="text1"/>
                <w:sz w:val="18"/>
                <w:szCs w:val="18"/>
              </w:rPr>
              <w:t>,</w:t>
            </w:r>
            <w:r w:rsidRPr="007E2F7E">
              <w:rPr>
                <w:rFonts w:ascii="Arial" w:hAnsi="Arial" w:cs="Arial"/>
                <w:color w:val="000000" w:themeColor="text1"/>
                <w:sz w:val="18"/>
                <w:szCs w:val="18"/>
              </w:rPr>
              <w:t>0)</w:t>
            </w:r>
          </w:p>
        </w:tc>
        <w:tc>
          <w:tcPr>
            <w:tcW w:w="1911" w:type="dxa"/>
            <w:shd w:val="clear" w:color="auto" w:fill="FFFFFF" w:themeFill="background1"/>
            <w:vAlign w:val="center"/>
          </w:tcPr>
          <w:p w14:paraId="30B2E735" w14:textId="51AFDBCB"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(463</w:t>
            </w:r>
            <w:r w:rsidR="00084951">
              <w:rPr>
                <w:rFonts w:ascii="Arial" w:hAnsi="Arial" w:cs="Arial"/>
                <w:color w:val="000000" w:themeColor="text1"/>
                <w:sz w:val="18"/>
                <w:szCs w:val="18"/>
              </w:rPr>
              <w:t>,</w:t>
            </w:r>
            <w:r w:rsidRPr="007E2F7E">
              <w:rPr>
                <w:rFonts w:ascii="Arial" w:hAnsi="Arial" w:cs="Arial"/>
                <w:color w:val="000000" w:themeColor="text1"/>
                <w:sz w:val="18"/>
                <w:szCs w:val="18"/>
              </w:rPr>
              <w:t>9)</w:t>
            </w:r>
          </w:p>
        </w:tc>
      </w:tr>
      <w:tr w:rsidR="00E93819" w:rsidRPr="00452CE7" w14:paraId="004D0CFD" w14:textId="77777777" w:rsidTr="00E93819">
        <w:trPr>
          <w:trHeight w:val="284"/>
        </w:trPr>
        <w:tc>
          <w:tcPr>
            <w:tcW w:w="6736" w:type="dxa"/>
            <w:shd w:val="clear" w:color="auto" w:fill="F2F2F2" w:themeFill="background1" w:themeFillShade="F2"/>
            <w:vAlign w:val="center"/>
          </w:tcPr>
          <w:p w14:paraId="0348B119" w14:textId="2B924525" w:rsidR="00E93819" w:rsidRPr="007E2F7E" w:rsidRDefault="00E93819" w:rsidP="00E93819">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t>Καθαρός Δανεισμός</w:t>
            </w:r>
          </w:p>
        </w:tc>
        <w:tc>
          <w:tcPr>
            <w:tcW w:w="1911" w:type="dxa"/>
            <w:shd w:val="clear" w:color="auto" w:fill="F2F2F2" w:themeFill="background1" w:themeFillShade="F2"/>
            <w:vAlign w:val="center"/>
          </w:tcPr>
          <w:p w14:paraId="212D4842" w14:textId="4608CB91"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bCs/>
                <w:color w:val="000000" w:themeColor="text1"/>
                <w:sz w:val="18"/>
                <w:szCs w:val="18"/>
              </w:rPr>
              <w:t>643</w:t>
            </w:r>
            <w:r w:rsidR="00084951">
              <w:rPr>
                <w:rFonts w:ascii="Arial" w:hAnsi="Arial" w:cs="Arial"/>
                <w:b/>
                <w:bCs/>
                <w:color w:val="000000" w:themeColor="text1"/>
                <w:sz w:val="18"/>
                <w:szCs w:val="18"/>
              </w:rPr>
              <w:t>,</w:t>
            </w:r>
            <w:r w:rsidRPr="007E2F7E">
              <w:rPr>
                <w:rFonts w:ascii="Arial" w:hAnsi="Arial" w:cs="Arial"/>
                <w:b/>
                <w:bCs/>
                <w:color w:val="000000" w:themeColor="text1"/>
                <w:sz w:val="18"/>
                <w:szCs w:val="18"/>
              </w:rPr>
              <w:t>4</w:t>
            </w:r>
          </w:p>
        </w:tc>
        <w:tc>
          <w:tcPr>
            <w:tcW w:w="1911" w:type="dxa"/>
            <w:shd w:val="clear" w:color="auto" w:fill="F2F2F2" w:themeFill="background1" w:themeFillShade="F2"/>
            <w:vAlign w:val="center"/>
          </w:tcPr>
          <w:p w14:paraId="6139C525" w14:textId="06103BEB"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bCs/>
                <w:color w:val="000000" w:themeColor="text1"/>
                <w:sz w:val="18"/>
                <w:szCs w:val="18"/>
              </w:rPr>
              <w:t>634</w:t>
            </w:r>
            <w:r w:rsidR="00084951">
              <w:rPr>
                <w:rFonts w:ascii="Arial" w:hAnsi="Arial" w:cs="Arial"/>
                <w:b/>
                <w:bCs/>
                <w:color w:val="000000" w:themeColor="text1"/>
                <w:sz w:val="18"/>
                <w:szCs w:val="18"/>
              </w:rPr>
              <w:t>,</w:t>
            </w:r>
            <w:r w:rsidRPr="007E2F7E">
              <w:rPr>
                <w:rFonts w:ascii="Arial" w:hAnsi="Arial" w:cs="Arial"/>
                <w:b/>
                <w:bCs/>
                <w:color w:val="000000" w:themeColor="text1"/>
                <w:sz w:val="18"/>
                <w:szCs w:val="18"/>
              </w:rPr>
              <w:t>8</w:t>
            </w:r>
          </w:p>
        </w:tc>
      </w:tr>
    </w:tbl>
    <w:p w14:paraId="0E467534"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312129A5" w14:textId="77777777" w:rsidR="00E026B6" w:rsidRPr="00E026B6" w:rsidRDefault="00004A74" w:rsidP="00E026B6">
      <w:pPr>
        <w:pStyle w:val="ListParagraph"/>
        <w:tabs>
          <w:tab w:val="left" w:pos="0"/>
        </w:tabs>
        <w:ind w:left="0"/>
        <w:jc w:val="both"/>
        <w:rPr>
          <w:rFonts w:ascii="Arial" w:hAnsi="Arial" w:cs="Arial"/>
          <w:b/>
          <w:color w:val="004B87"/>
          <w:sz w:val="22"/>
          <w:szCs w:val="22"/>
        </w:rPr>
      </w:pPr>
      <w:r w:rsidRPr="00E026B6">
        <w:rPr>
          <w:rFonts w:ascii="Arial" w:hAnsi="Arial" w:cs="Arial"/>
          <w:b/>
          <w:color w:val="004B87"/>
          <w:sz w:val="22"/>
          <w:szCs w:val="22"/>
        </w:rPr>
        <w:t>EBIT</w:t>
      </w:r>
    </w:p>
    <w:p w14:paraId="31860334" w14:textId="35F2728C" w:rsidR="007D3E42" w:rsidRPr="00787EE2" w:rsidRDefault="00305A1A" w:rsidP="00E026B6">
      <w:pPr>
        <w:jc w:val="both"/>
        <w:rPr>
          <w:rFonts w:ascii="Arial" w:hAnsi="Arial" w:cs="Arial"/>
        </w:rPr>
      </w:pPr>
      <w:r w:rsidRPr="00E026B6">
        <w:rPr>
          <w:rFonts w:ascii="Arial" w:eastAsia="Times New Roman" w:hAnsi="Arial" w:cs="Arial"/>
        </w:rPr>
        <w:t>Τα Κέρδη προ τόκων και φόρων (</w:t>
      </w:r>
      <w:r w:rsidRPr="00E026B6">
        <w:rPr>
          <w:rFonts w:ascii="Arial" w:eastAsia="Times New Roman" w:hAnsi="Arial" w:cs="Arial"/>
          <w:lang w:val="en-US"/>
        </w:rPr>
        <w:t>EBIT</w:t>
      </w:r>
      <w:r w:rsidRPr="00E026B6">
        <w:rPr>
          <w:rFonts w:ascii="Arial" w:eastAsia="Times New Roman" w:hAnsi="Arial" w:cs="Arial"/>
        </w:rPr>
        <w:t>) προκύπτουν απευθείας από τις χρηματοοικονομικές καταστάσεις του Ομίλου, γραμμή «</w:t>
      </w:r>
      <w:r w:rsidR="00787EE2" w:rsidRPr="00E026B6">
        <w:rPr>
          <w:rFonts w:ascii="Arial" w:eastAsia="Times New Roman" w:hAnsi="Arial" w:cs="Arial"/>
        </w:rPr>
        <w:t>Λειτουργικά κέρδη προ χρηματοοικονομικών και επενδυτικών δραστηριοτήτων</w:t>
      </w:r>
      <w:r w:rsidRPr="00E026B6">
        <w:rPr>
          <w:rFonts w:ascii="Arial" w:eastAsia="Times New Roman" w:hAnsi="Arial" w:cs="Arial"/>
        </w:rPr>
        <w:t>» της κατάστασης Αποτελεσμάτων.</w:t>
      </w:r>
      <w:r w:rsidR="00787EE2" w:rsidRPr="00E026B6">
        <w:rPr>
          <w:rFonts w:ascii="Arial" w:eastAsia="Times New Roman" w:hAnsi="Arial" w:cs="Arial"/>
        </w:rPr>
        <w:t xml:space="preserve"> </w:t>
      </w:r>
      <w:r w:rsidR="00787EE2" w:rsidRPr="001D7A36">
        <w:rPr>
          <w:rFonts w:ascii="Arial" w:eastAsia="Times New Roman" w:hAnsi="Arial" w:cs="Arial"/>
        </w:rPr>
        <w:t xml:space="preserve">Ο δείκτης </w:t>
      </w:r>
      <w:r w:rsidR="00787EE2" w:rsidRPr="00E026B6">
        <w:rPr>
          <w:rFonts w:ascii="Arial" w:eastAsia="Times New Roman" w:hAnsi="Arial" w:cs="Arial"/>
          <w:lang w:val="en-US"/>
        </w:rPr>
        <w:t>EBIT</w:t>
      </w:r>
      <w:r w:rsidR="00787EE2" w:rsidRPr="001D7A36">
        <w:rPr>
          <w:rFonts w:ascii="Arial" w:eastAsia="Times New Roman" w:hAnsi="Arial" w:cs="Arial"/>
        </w:rPr>
        <w:t xml:space="preserve"> παρέχει χρήσιμη πληροφόρηση για την ανάλυση της λειτουργικής απόδοσης του Ομίλου</w:t>
      </w:r>
      <w:r w:rsidR="00787EE2" w:rsidRPr="00787EE2">
        <w:rPr>
          <w:rFonts w:ascii="Arial" w:hAnsi="Arial" w:cs="Arial"/>
        </w:rPr>
        <w:t>.</w:t>
      </w:r>
    </w:p>
    <w:p w14:paraId="0FBDBA23"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1EA3BD71" w14:textId="7D35B069"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Ο δείκτης </w:t>
      </w:r>
      <w:r w:rsidRPr="00E026B6">
        <w:rPr>
          <w:rFonts w:ascii="Arial" w:hAnsi="Arial" w:cs="Arial"/>
          <w:b/>
          <w:bCs/>
          <w:sz w:val="22"/>
          <w:szCs w:val="22"/>
        </w:rPr>
        <w:t>EBITDA</w:t>
      </w:r>
      <w:r w:rsidRPr="001D7A36">
        <w:rPr>
          <w:rFonts w:ascii="Arial" w:hAnsi="Arial" w:cs="Arial"/>
          <w:sz w:val="22"/>
          <w:szCs w:val="22"/>
          <w:lang w:val="el-GR"/>
        </w:rPr>
        <w:t xml:space="preserve">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απομειώσεων» της Κατάστασης Αποτελεσμάτων. Ο δείκτης </w:t>
      </w:r>
      <w:r w:rsidRPr="00E026B6">
        <w:rPr>
          <w:rFonts w:ascii="Arial" w:hAnsi="Arial" w:cs="Arial"/>
          <w:sz w:val="22"/>
          <w:szCs w:val="22"/>
        </w:rPr>
        <w:t>EBITDA</w:t>
      </w:r>
      <w:r w:rsidRPr="001D7A36">
        <w:rPr>
          <w:rFonts w:ascii="Arial" w:hAnsi="Arial" w:cs="Arial"/>
          <w:sz w:val="22"/>
          <w:szCs w:val="22"/>
          <w:lang w:val="el-GR"/>
        </w:rPr>
        <w:t xml:space="preserve"> ορίζεται ως το σύνολο του κύκλου εργασιών συν τα λοιπά λειτουργικά έσοδα μείον το σύνολο των λειτουργικών εξόδων πριν από αποσβέσεις και απομειώσεις. Ο δείκτης </w:t>
      </w:r>
      <w:r w:rsidRPr="00E026B6">
        <w:rPr>
          <w:rFonts w:ascii="Arial" w:hAnsi="Arial" w:cs="Arial"/>
          <w:sz w:val="22"/>
          <w:szCs w:val="22"/>
        </w:rPr>
        <w:t>EBITDA</w:t>
      </w:r>
      <w:r w:rsidRPr="001D7A36">
        <w:rPr>
          <w:rFonts w:ascii="Arial" w:hAnsi="Arial" w:cs="Arial"/>
          <w:sz w:val="22"/>
          <w:szCs w:val="22"/>
          <w:lang w:val="el-GR"/>
        </w:rPr>
        <w:t xml:space="preserve"> εξυπηρετεί στην καλύτερη ανάλυση των λειτουργικών αποτελεσμάτων του Ομίλου.</w:t>
      </w:r>
    </w:p>
    <w:p w14:paraId="531CBCC5" w14:textId="5A0AFB7F"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Το </w:t>
      </w: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sz w:val="22"/>
          <w:szCs w:val="22"/>
          <w:lang w:val="el-GR"/>
        </w:rPr>
        <w:t xml:space="preserve"> υπολογίζεται εξαιρώντας την επίδραση από τα κόστη σχετιζόμενα με προγράμματα εθελ</w:t>
      </w:r>
      <w:bookmarkStart w:id="11" w:name="_Hlt127543518"/>
      <w:bookmarkStart w:id="12" w:name="_Hlt127543519"/>
      <w:r w:rsidRPr="001D7A36">
        <w:rPr>
          <w:rFonts w:ascii="Arial" w:hAnsi="Arial" w:cs="Arial"/>
          <w:sz w:val="22"/>
          <w:szCs w:val="22"/>
          <w:lang w:val="el-GR"/>
        </w:rPr>
        <w:t>ο</w:t>
      </w:r>
      <w:bookmarkEnd w:id="11"/>
      <w:bookmarkEnd w:id="12"/>
      <w:r w:rsidRPr="001D7A36">
        <w:rPr>
          <w:rFonts w:ascii="Arial" w:hAnsi="Arial" w:cs="Arial"/>
          <w:sz w:val="22"/>
          <w:szCs w:val="22"/>
          <w:lang w:val="el-GR"/>
        </w:rPr>
        <w:t>ύσιας αποχώρησης</w:t>
      </w:r>
      <w:r w:rsidR="005252CD" w:rsidRPr="001D7A36">
        <w:rPr>
          <w:rFonts w:ascii="Arial" w:hAnsi="Arial" w:cs="Arial"/>
          <w:sz w:val="22"/>
          <w:szCs w:val="22"/>
          <w:lang w:val="el-GR"/>
        </w:rPr>
        <w:t xml:space="preserve">, </w:t>
      </w:r>
      <w:r w:rsidRPr="001D7A36">
        <w:rPr>
          <w:rFonts w:ascii="Arial" w:hAnsi="Arial" w:cs="Arial"/>
          <w:sz w:val="22"/>
          <w:szCs w:val="22"/>
          <w:lang w:val="el-GR"/>
        </w:rPr>
        <w:t>λοιπά έξοδα αναδιοργάνωσης</w:t>
      </w:r>
      <w:r w:rsidR="005252CD" w:rsidRPr="001D7A36">
        <w:rPr>
          <w:rFonts w:ascii="Arial" w:hAnsi="Arial" w:cs="Arial"/>
          <w:sz w:val="22"/>
          <w:szCs w:val="22"/>
          <w:lang w:val="el-GR"/>
        </w:rPr>
        <w:t xml:space="preserve"> και κόστη που σχετίζονται με τον φορολογικό έλεγχο της </w:t>
      </w:r>
      <w:r w:rsidR="005252CD" w:rsidRPr="00E026B6">
        <w:rPr>
          <w:rFonts w:ascii="Arial" w:hAnsi="Arial" w:cs="Arial"/>
          <w:sz w:val="22"/>
          <w:szCs w:val="22"/>
        </w:rPr>
        <w:t>TKRM</w:t>
      </w:r>
      <w:r w:rsidR="005252CD" w:rsidRPr="001D7A36">
        <w:rPr>
          <w:rFonts w:ascii="Arial" w:hAnsi="Arial" w:cs="Arial"/>
          <w:sz w:val="22"/>
          <w:szCs w:val="22"/>
          <w:lang w:val="el-GR"/>
        </w:rPr>
        <w:t xml:space="preserve"> για τις χρήσεις 2017-2021.</w:t>
      </w:r>
    </w:p>
    <w:p w14:paraId="1082AB2F" w14:textId="77777777"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b/>
          <w:bCs/>
          <w:sz w:val="22"/>
          <w:szCs w:val="22"/>
          <w:lang w:val="el-GR"/>
        </w:rPr>
        <w:t xml:space="preserve"> μετά από μισθώσεις (</w:t>
      </w:r>
      <w:r w:rsidRPr="00E026B6">
        <w:rPr>
          <w:rFonts w:ascii="Arial" w:hAnsi="Arial" w:cs="Arial"/>
          <w:b/>
          <w:bCs/>
          <w:sz w:val="22"/>
          <w:szCs w:val="22"/>
        </w:rPr>
        <w:t>AL</w:t>
      </w:r>
      <w:r w:rsidRPr="001D7A36">
        <w:rPr>
          <w:rFonts w:ascii="Arial" w:hAnsi="Arial" w:cs="Arial"/>
          <w:b/>
          <w:bCs/>
          <w:sz w:val="22"/>
          <w:szCs w:val="22"/>
          <w:lang w:val="el-GR"/>
        </w:rPr>
        <w:t>):</w:t>
      </w:r>
      <w:r w:rsidRPr="001D7A36">
        <w:rPr>
          <w:rFonts w:ascii="Arial" w:hAnsi="Arial" w:cs="Arial"/>
          <w:sz w:val="22"/>
          <w:szCs w:val="22"/>
          <w:lang w:val="el-GR"/>
        </w:rPr>
        <w:t xml:space="preserve"> </w:t>
      </w:r>
      <w:r w:rsidRPr="00E026B6">
        <w:rPr>
          <w:rFonts w:ascii="Arial" w:hAnsi="Arial" w:cs="Arial"/>
          <w:sz w:val="22"/>
          <w:szCs w:val="22"/>
        </w:rPr>
        <w:t>M</w:t>
      </w:r>
      <w:r w:rsidRPr="001D7A36">
        <w:rPr>
          <w:rFonts w:ascii="Arial" w:hAnsi="Arial" w:cs="Arial"/>
          <w:sz w:val="22"/>
          <w:szCs w:val="22"/>
          <w:lang w:val="el-GR"/>
        </w:rPr>
        <w:t xml:space="preserve">ετά την εφαρμογή του ΔΠΧΑ 16 σχετικά με τις μισθώσεις, είναι κοινή πρακτική του κλάδου η χρήση του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ή του Προσαρμοσμένου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προκειμένου να διευκολυνθεί η σύγκριση μεταξύ των εταιρειών της αγοράς τηλεπικοινωνιών καθώς και η σύγκριση με τα ιστορικά στοιχεία. Το Προσαρμοσμένο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ορίζεται ως το Προσαρμοσμένο </w:t>
      </w:r>
      <w:r w:rsidRPr="00E026B6">
        <w:rPr>
          <w:rFonts w:ascii="Arial" w:hAnsi="Arial" w:cs="Arial"/>
          <w:sz w:val="22"/>
          <w:szCs w:val="22"/>
        </w:rPr>
        <w:t>EBITDA</w:t>
      </w:r>
      <w:r w:rsidRPr="001D7A36">
        <w:rPr>
          <w:rFonts w:ascii="Arial" w:hAnsi="Arial" w:cs="Arial"/>
          <w:sz w:val="22"/>
          <w:szCs w:val="22"/>
          <w:lang w:val="el-GR"/>
        </w:rPr>
        <w:t xml:space="preserve"> αφαιρώντας τις αποσβέσεις και τους τόκους που σχετίζονται με μισθώσεις. </w:t>
      </w:r>
    </w:p>
    <w:p w14:paraId="7FEDE6D6" w14:textId="028A7761" w:rsidR="004573DA" w:rsidRPr="00E026B6" w:rsidRDefault="009E285A" w:rsidP="00E026B6">
      <w:pPr>
        <w:spacing w:after="0" w:line="240" w:lineRule="auto"/>
        <w:jc w:val="both"/>
        <w:rPr>
          <w:rFonts w:ascii="Arial" w:eastAsia="Times New Roman" w:hAnsi="Arial" w:cs="Arial"/>
        </w:rPr>
      </w:pPr>
      <w:r w:rsidRPr="00E026B6">
        <w:rPr>
          <w:rFonts w:ascii="Arial" w:eastAsia="Times New Roman" w:hAnsi="Arial" w:cs="Arial"/>
        </w:rPr>
        <w:t xml:space="preserve">Τα περιθώρια </w:t>
      </w:r>
      <w:r w:rsidRPr="00E026B6">
        <w:rPr>
          <w:rFonts w:ascii="Arial" w:eastAsia="Times New Roman" w:hAnsi="Arial" w:cs="Arial"/>
          <w:lang w:val="en-US"/>
        </w:rPr>
        <w:t>EBITDA</w:t>
      </w:r>
      <w:r w:rsidRPr="00E026B6">
        <w:rPr>
          <w:rFonts w:ascii="Arial" w:eastAsia="Times New Roman" w:hAnsi="Arial" w:cs="Arial"/>
        </w:rPr>
        <w:t xml:space="preserve">, Προσαρμοσμένο </w:t>
      </w:r>
      <w:r w:rsidRPr="00E026B6">
        <w:rPr>
          <w:rFonts w:ascii="Arial" w:eastAsia="Times New Roman" w:hAnsi="Arial" w:cs="Arial"/>
          <w:lang w:val="en-US"/>
        </w:rPr>
        <w:t>EBITDA</w:t>
      </w:r>
      <w:r w:rsidRPr="00E026B6">
        <w:rPr>
          <w:rFonts w:ascii="Arial" w:eastAsia="Times New Roman" w:hAnsi="Arial" w:cs="Arial"/>
        </w:rPr>
        <w:t xml:space="preserve"> και Προσαρμοσμένο </w:t>
      </w:r>
      <w:r w:rsidRPr="00E026B6">
        <w:rPr>
          <w:rFonts w:ascii="Arial" w:eastAsia="Times New Roman" w:hAnsi="Arial" w:cs="Arial"/>
          <w:lang w:val="en-US"/>
        </w:rPr>
        <w:t>EBITDA</w:t>
      </w:r>
      <w:r w:rsidRPr="00E026B6">
        <w:rPr>
          <w:rFonts w:ascii="Arial" w:eastAsia="Times New Roman" w:hAnsi="Arial" w:cs="Arial"/>
        </w:rPr>
        <w:t xml:space="preserve"> μετά από μισθώσεις (</w:t>
      </w:r>
      <w:r w:rsidRPr="00E026B6">
        <w:rPr>
          <w:rFonts w:ascii="Arial" w:eastAsia="Times New Roman" w:hAnsi="Arial" w:cs="Arial"/>
          <w:lang w:val="en-US"/>
        </w:rPr>
        <w:t>AL</w:t>
      </w:r>
      <w:r w:rsidRPr="00E026B6">
        <w:rPr>
          <w:rFonts w:ascii="Arial" w:eastAsia="Times New Roman" w:hAnsi="Arial" w:cs="Arial"/>
        </w:rPr>
        <w:t xml:space="preserve">) (%) υπολογίζονται διαιρώντας τα αντίστοιχα </w:t>
      </w:r>
      <w:r w:rsidRPr="00E026B6">
        <w:rPr>
          <w:rFonts w:ascii="Arial" w:eastAsia="Times New Roman" w:hAnsi="Arial" w:cs="Arial"/>
          <w:lang w:val="en-US"/>
        </w:rPr>
        <w:t>EBITDA</w:t>
      </w:r>
      <w:r w:rsidRPr="00E026B6">
        <w:rPr>
          <w:rFonts w:ascii="Arial" w:eastAsia="Times New Roman" w:hAnsi="Arial" w:cs="Arial"/>
        </w:rPr>
        <w:t xml:space="preserve"> με το σύνολο του κύκλου εργασιών. </w:t>
      </w:r>
    </w:p>
    <w:p w14:paraId="45F0BD24" w14:textId="48334FA6" w:rsidR="009E285A" w:rsidRPr="004A230E" w:rsidRDefault="004573DA" w:rsidP="004A230E">
      <w:pPr>
        <w:rPr>
          <w:rFonts w:ascii="Arial" w:eastAsia="Calibri" w:hAnsi="Arial" w:cs="Arial"/>
          <w:kern w:val="2"/>
          <w14:ligatures w14:val="standardContextual"/>
        </w:rPr>
      </w:pPr>
      <w:r>
        <w:rPr>
          <w:rFonts w:ascii="Arial" w:eastAsia="Calibri" w:hAnsi="Arial" w:cs="Arial"/>
          <w:kern w:val="2"/>
          <w14:ligatures w14:val="standardContextual"/>
        </w:rPr>
        <w:br w:type="page"/>
      </w:r>
    </w:p>
    <w:tbl>
      <w:tblPr>
        <w:tblStyle w:val="TableGrid"/>
        <w:tblW w:w="1061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98"/>
        <w:gridCol w:w="1073"/>
        <w:gridCol w:w="1114"/>
        <w:gridCol w:w="1114"/>
        <w:gridCol w:w="1114"/>
        <w:gridCol w:w="1183"/>
        <w:gridCol w:w="1114"/>
      </w:tblGrid>
      <w:tr w:rsidR="0045696D" w:rsidRPr="008D17AB" w14:paraId="19ADCD0A" w14:textId="77777777" w:rsidTr="0045696D">
        <w:trPr>
          <w:trHeight w:val="358"/>
        </w:trPr>
        <w:tc>
          <w:tcPr>
            <w:tcW w:w="3898" w:type="dxa"/>
            <w:tcBorders>
              <w:top w:val="single" w:sz="2" w:space="0" w:color="808080" w:themeColor="background1" w:themeShade="80"/>
              <w:bottom w:val="nil"/>
              <w:right w:val="single" w:sz="2" w:space="0" w:color="808080" w:themeColor="background1" w:themeShade="80"/>
            </w:tcBorders>
            <w:vAlign w:val="center"/>
          </w:tcPr>
          <w:p w14:paraId="4E124915" w14:textId="32145248"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sz w:val="18"/>
                <w:szCs w:val="18"/>
              </w:rPr>
              <w:lastRenderedPageBreak/>
              <w:t>Q</w:t>
            </w:r>
            <w:r>
              <w:rPr>
                <w:rFonts w:ascii="Arial" w:hAnsi="Arial" w:cs="Arial"/>
                <w:b/>
                <w:sz w:val="18"/>
                <w:szCs w:val="18"/>
                <w:lang w:val="el-GR"/>
              </w:rPr>
              <w:t>4</w:t>
            </w:r>
            <w:r w:rsidRPr="00810E77">
              <w:rPr>
                <w:rFonts w:ascii="Arial" w:hAnsi="Arial" w:cs="Arial"/>
                <w:b/>
                <w:sz w:val="18"/>
                <w:szCs w:val="18"/>
              </w:rPr>
              <w:t>’2</w:t>
            </w:r>
            <w:r>
              <w:rPr>
                <w:rFonts w:ascii="Arial" w:hAnsi="Arial" w:cs="Arial"/>
                <w:b/>
                <w:sz w:val="18"/>
                <w:szCs w:val="18"/>
                <w:lang w:val="el-GR"/>
              </w:rPr>
              <w:t>4</w:t>
            </w:r>
            <w:r w:rsidRPr="00810E77">
              <w:rPr>
                <w:rFonts w:ascii="Arial" w:hAnsi="Arial" w:cs="Arial"/>
                <w:b/>
                <w:sz w:val="18"/>
                <w:szCs w:val="18"/>
              </w:rPr>
              <w:t xml:space="preserve"> (</w:t>
            </w:r>
            <w:r w:rsidRPr="00A7639D">
              <w:rPr>
                <w:rFonts w:ascii="Arial" w:hAnsi="Arial" w:cs="Arial"/>
                <w:b/>
                <w:sz w:val="18"/>
                <w:szCs w:val="18"/>
              </w:rPr>
              <w:t>Ευρώ εκατ.)</w:t>
            </w:r>
          </w:p>
        </w:tc>
        <w:tc>
          <w:tcPr>
            <w:tcW w:w="2187" w:type="dxa"/>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29E63098" w14:textId="79BEF64D"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Όμιλος</w:t>
            </w:r>
          </w:p>
        </w:tc>
        <w:tc>
          <w:tcPr>
            <w:tcW w:w="2228" w:type="dxa"/>
            <w:gridSpan w:val="2"/>
            <w:tcBorders>
              <w:top w:val="single" w:sz="2" w:space="0" w:color="808080" w:themeColor="background1" w:themeShade="80"/>
              <w:left w:val="single" w:sz="2" w:space="0" w:color="808080" w:themeColor="background1" w:themeShade="80"/>
              <w:bottom w:val="nil"/>
              <w:right w:val="single" w:sz="4" w:space="0" w:color="A6A6A6" w:themeColor="background1" w:themeShade="A6"/>
            </w:tcBorders>
            <w:vAlign w:val="center"/>
          </w:tcPr>
          <w:p w14:paraId="7EE2F57B" w14:textId="41DBBF65"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Ελλάδα</w:t>
            </w:r>
          </w:p>
        </w:tc>
        <w:tc>
          <w:tcPr>
            <w:tcW w:w="2297" w:type="dxa"/>
            <w:gridSpan w:val="2"/>
            <w:tcBorders>
              <w:top w:val="single" w:sz="2" w:space="0" w:color="808080" w:themeColor="background1" w:themeShade="80"/>
              <w:left w:val="single" w:sz="4" w:space="0" w:color="A6A6A6" w:themeColor="background1" w:themeShade="A6"/>
              <w:bottom w:val="nil"/>
              <w:right w:val="nil"/>
            </w:tcBorders>
            <w:vAlign w:val="center"/>
          </w:tcPr>
          <w:p w14:paraId="63F06DB6" w14:textId="751DF13D" w:rsidR="0045696D" w:rsidRPr="0045696D" w:rsidRDefault="0045696D" w:rsidP="004573DA">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color w:val="000000" w:themeColor="text1"/>
                <w:sz w:val="18"/>
                <w:szCs w:val="18"/>
                <w:lang w:val="el-GR"/>
              </w:rPr>
              <w:t>Ρουμανία</w:t>
            </w:r>
          </w:p>
        </w:tc>
      </w:tr>
      <w:tr w:rsidR="0045696D" w:rsidRPr="008D17AB" w14:paraId="135DFA4B" w14:textId="77777777" w:rsidTr="0045696D">
        <w:trPr>
          <w:trHeight w:val="168"/>
        </w:trPr>
        <w:tc>
          <w:tcPr>
            <w:tcW w:w="3898" w:type="dxa"/>
            <w:tcBorders>
              <w:top w:val="nil"/>
              <w:bottom w:val="single" w:sz="2" w:space="0" w:color="808080" w:themeColor="background1" w:themeShade="80"/>
              <w:right w:val="single" w:sz="2" w:space="0" w:color="808080" w:themeColor="background1" w:themeShade="80"/>
            </w:tcBorders>
            <w:vAlign w:val="center"/>
          </w:tcPr>
          <w:p w14:paraId="26F88837" w14:textId="77777777"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p>
        </w:tc>
        <w:tc>
          <w:tcPr>
            <w:tcW w:w="1073" w:type="dxa"/>
            <w:tcBorders>
              <w:top w:val="nil"/>
              <w:left w:val="single" w:sz="2" w:space="0" w:color="808080" w:themeColor="background1" w:themeShade="80"/>
              <w:bottom w:val="single" w:sz="2" w:space="0" w:color="808080" w:themeColor="background1" w:themeShade="80"/>
              <w:right w:val="nil"/>
            </w:tcBorders>
            <w:vAlign w:val="center"/>
          </w:tcPr>
          <w:p w14:paraId="7A4980EE"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Q4'24</w:t>
            </w:r>
          </w:p>
        </w:tc>
        <w:tc>
          <w:tcPr>
            <w:tcW w:w="1114" w:type="dxa"/>
            <w:tcBorders>
              <w:top w:val="nil"/>
              <w:left w:val="nil"/>
              <w:bottom w:val="single" w:sz="2" w:space="0" w:color="808080" w:themeColor="background1" w:themeShade="80"/>
              <w:right w:val="single" w:sz="2" w:space="0" w:color="808080" w:themeColor="background1" w:themeShade="80"/>
            </w:tcBorders>
            <w:vAlign w:val="center"/>
          </w:tcPr>
          <w:p w14:paraId="70E436B9"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Q4'23</w:t>
            </w:r>
          </w:p>
        </w:tc>
        <w:tc>
          <w:tcPr>
            <w:tcW w:w="1114" w:type="dxa"/>
            <w:tcBorders>
              <w:top w:val="nil"/>
              <w:left w:val="single" w:sz="2" w:space="0" w:color="808080" w:themeColor="background1" w:themeShade="80"/>
              <w:bottom w:val="single" w:sz="2" w:space="0" w:color="808080" w:themeColor="background1" w:themeShade="80"/>
              <w:right w:val="nil"/>
            </w:tcBorders>
            <w:vAlign w:val="center"/>
          </w:tcPr>
          <w:p w14:paraId="7E14589B"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Q4'24</w:t>
            </w:r>
          </w:p>
        </w:tc>
        <w:tc>
          <w:tcPr>
            <w:tcW w:w="1114" w:type="dxa"/>
            <w:tcBorders>
              <w:top w:val="nil"/>
              <w:left w:val="nil"/>
              <w:bottom w:val="single" w:sz="2" w:space="0" w:color="808080" w:themeColor="background1" w:themeShade="80"/>
              <w:right w:val="single" w:sz="4" w:space="0" w:color="A6A6A6" w:themeColor="background1" w:themeShade="A6"/>
            </w:tcBorders>
            <w:vAlign w:val="center"/>
          </w:tcPr>
          <w:p w14:paraId="6D9826D2"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Q4'23</w:t>
            </w:r>
          </w:p>
        </w:tc>
        <w:tc>
          <w:tcPr>
            <w:tcW w:w="1183" w:type="dxa"/>
            <w:tcBorders>
              <w:top w:val="nil"/>
              <w:left w:val="single" w:sz="4" w:space="0" w:color="A6A6A6" w:themeColor="background1" w:themeShade="A6"/>
              <w:bottom w:val="single" w:sz="2" w:space="0" w:color="808080" w:themeColor="background1" w:themeShade="80"/>
              <w:right w:val="nil"/>
            </w:tcBorders>
            <w:vAlign w:val="center"/>
          </w:tcPr>
          <w:p w14:paraId="01163184"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Q4'24</w:t>
            </w:r>
          </w:p>
        </w:tc>
        <w:tc>
          <w:tcPr>
            <w:tcW w:w="1114" w:type="dxa"/>
            <w:tcBorders>
              <w:top w:val="nil"/>
              <w:left w:val="nil"/>
              <w:bottom w:val="single" w:sz="2" w:space="0" w:color="808080" w:themeColor="background1" w:themeShade="80"/>
              <w:right w:val="nil"/>
            </w:tcBorders>
            <w:vAlign w:val="center"/>
          </w:tcPr>
          <w:p w14:paraId="4B7645BB"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Q4'23</w:t>
            </w:r>
          </w:p>
        </w:tc>
      </w:tr>
      <w:tr w:rsidR="0045696D" w:rsidRPr="008D17AB" w14:paraId="00909A83" w14:textId="77777777" w:rsidTr="0045696D">
        <w:trPr>
          <w:trHeight w:val="249"/>
        </w:trPr>
        <w:tc>
          <w:tcPr>
            <w:tcW w:w="3898"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B3DA6F1" w14:textId="570D807F"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Σύνολο κύκλου εργασιών</w:t>
            </w:r>
          </w:p>
        </w:tc>
        <w:tc>
          <w:tcPr>
            <w:tcW w:w="107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DB91AAA" w14:textId="73444E69"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905</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3</w:t>
            </w:r>
          </w:p>
        </w:tc>
        <w:tc>
          <w:tcPr>
            <w:tcW w:w="1114"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6140B27D" w14:textId="598FA7BB"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930</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2</w:t>
            </w:r>
          </w:p>
        </w:tc>
        <w:tc>
          <w:tcPr>
            <w:tcW w:w="1114"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A0C513C" w14:textId="06829974"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843</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1</w:t>
            </w:r>
          </w:p>
        </w:tc>
        <w:tc>
          <w:tcPr>
            <w:tcW w:w="1114"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15952CE3" w14:textId="1C69ED28"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854</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8</w:t>
            </w:r>
          </w:p>
        </w:tc>
        <w:tc>
          <w:tcPr>
            <w:tcW w:w="1183"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6E7BBE3" w14:textId="0FF73FEA" w:rsidR="0045696D" w:rsidRPr="003504C8" w:rsidRDefault="0045696D" w:rsidP="004573DA">
            <w:pPr>
              <w:pStyle w:val="ColorfulList-Accent11"/>
              <w:tabs>
                <w:tab w:val="left" w:pos="0"/>
                <w:tab w:val="left" w:pos="284"/>
              </w:tabs>
              <w:ind w:left="0" w:right="-90"/>
              <w:jc w:val="center"/>
              <w:rPr>
                <w:rFonts w:ascii="Arial" w:hAnsi="Arial" w:cs="Arial"/>
                <w:b/>
                <w:bCs/>
                <w:color w:val="000000" w:themeColor="text1"/>
                <w:sz w:val="18"/>
                <w:szCs w:val="18"/>
              </w:rPr>
            </w:pPr>
            <w:r w:rsidRPr="003504C8">
              <w:rPr>
                <w:rFonts w:ascii="Arial" w:hAnsi="Arial" w:cs="Arial"/>
                <w:b/>
                <w:bCs/>
                <w:color w:val="000000" w:themeColor="text1"/>
                <w:sz w:val="18"/>
                <w:szCs w:val="18"/>
              </w:rPr>
              <w:t>64</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0</w:t>
            </w:r>
          </w:p>
        </w:tc>
        <w:tc>
          <w:tcPr>
            <w:tcW w:w="1114" w:type="dxa"/>
            <w:tcBorders>
              <w:top w:val="single" w:sz="2" w:space="0" w:color="808080" w:themeColor="background1" w:themeShade="80"/>
              <w:left w:val="nil"/>
              <w:bottom w:val="nil"/>
              <w:right w:val="nil"/>
            </w:tcBorders>
            <w:shd w:val="clear" w:color="auto" w:fill="F2F2F2" w:themeFill="background1" w:themeFillShade="F2"/>
            <w:vAlign w:val="center"/>
          </w:tcPr>
          <w:p w14:paraId="531FA883" w14:textId="290F30DF" w:rsidR="0045696D" w:rsidRPr="003504C8" w:rsidRDefault="0045696D" w:rsidP="004573DA">
            <w:pPr>
              <w:pStyle w:val="ColorfulList-Accent11"/>
              <w:tabs>
                <w:tab w:val="left" w:pos="0"/>
                <w:tab w:val="left" w:pos="284"/>
              </w:tabs>
              <w:ind w:left="0" w:right="-90"/>
              <w:jc w:val="center"/>
              <w:rPr>
                <w:rFonts w:ascii="Arial" w:hAnsi="Arial" w:cs="Arial"/>
                <w:b/>
                <w:bCs/>
                <w:color w:val="000000" w:themeColor="text1"/>
                <w:sz w:val="18"/>
                <w:szCs w:val="18"/>
              </w:rPr>
            </w:pPr>
            <w:r w:rsidRPr="003504C8">
              <w:rPr>
                <w:rFonts w:ascii="Arial" w:hAnsi="Arial" w:cs="Arial"/>
                <w:b/>
                <w:bCs/>
                <w:color w:val="000000" w:themeColor="text1"/>
                <w:sz w:val="18"/>
                <w:szCs w:val="18"/>
              </w:rPr>
              <w:t>77</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5</w:t>
            </w:r>
          </w:p>
        </w:tc>
      </w:tr>
      <w:tr w:rsidR="0045696D" w:rsidRPr="008D17AB" w14:paraId="4FF2B30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5AF22177" w14:textId="3C07602E" w:rsidR="0045696D" w:rsidRPr="00832C24" w:rsidRDefault="0045696D" w:rsidP="004573DA">
            <w:pPr>
              <w:pStyle w:val="ColorfulList-Accent11"/>
              <w:tabs>
                <w:tab w:val="left" w:pos="0"/>
                <w:tab w:val="left" w:pos="284"/>
              </w:tabs>
              <w:ind w:left="0" w:right="-90"/>
              <w:rPr>
                <w:rFonts w:ascii="Arial" w:hAnsi="Arial" w:cs="Arial"/>
                <w:color w:val="000000" w:themeColor="text1"/>
                <w:sz w:val="18"/>
                <w:szCs w:val="18"/>
              </w:rPr>
            </w:pPr>
            <w:r w:rsidRPr="00583090">
              <w:rPr>
                <w:rFonts w:ascii="Arial" w:hAnsi="Arial" w:cs="Arial"/>
                <w:iCs/>
                <w:sz w:val="18"/>
                <w:szCs w:val="18"/>
                <w:lang w:val="el-GR"/>
              </w:rPr>
              <w:t>Λοιπά λειτουργικά έσοδα</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5A1D5A91" w14:textId="1ABBF48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332846AA" w14:textId="27F3750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B2BC75E" w14:textId="74B1C10B"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6</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98C324C" w14:textId="74B99D0D"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2725C96" w14:textId="750514BF"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4" w:type="dxa"/>
            <w:tcBorders>
              <w:top w:val="nil"/>
              <w:left w:val="nil"/>
              <w:bottom w:val="nil"/>
              <w:right w:val="nil"/>
            </w:tcBorders>
            <w:shd w:val="clear" w:color="auto" w:fill="FFFFFF" w:themeFill="background1"/>
            <w:vAlign w:val="center"/>
          </w:tcPr>
          <w:p w14:paraId="1856AB34" w14:textId="69ADF169" w:rsidR="0045696D" w:rsidRPr="007E2F66" w:rsidRDefault="007E2F66" w:rsidP="004573DA">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color w:val="000000" w:themeColor="text1"/>
                <w:sz w:val="18"/>
                <w:szCs w:val="18"/>
                <w:lang w:val="el-GR"/>
              </w:rPr>
              <w:t>(</w:t>
            </w:r>
            <w:r w:rsidR="0045696D"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0045696D" w:rsidRPr="00832C24">
              <w:rPr>
                <w:rFonts w:ascii="Arial" w:hAnsi="Arial" w:cs="Arial"/>
                <w:color w:val="000000" w:themeColor="text1"/>
                <w:sz w:val="18"/>
                <w:szCs w:val="18"/>
              </w:rPr>
              <w:t>3</w:t>
            </w:r>
            <w:r>
              <w:rPr>
                <w:rFonts w:ascii="Arial" w:hAnsi="Arial" w:cs="Arial"/>
                <w:color w:val="000000" w:themeColor="text1"/>
                <w:sz w:val="18"/>
                <w:szCs w:val="18"/>
                <w:lang w:val="el-GR"/>
              </w:rPr>
              <w:t>)</w:t>
            </w:r>
          </w:p>
        </w:tc>
      </w:tr>
      <w:tr w:rsidR="0045696D" w:rsidRPr="008D17AB" w14:paraId="09954F7D" w14:textId="77777777" w:rsidTr="0045696D">
        <w:trPr>
          <w:trHeight w:val="377"/>
        </w:trPr>
        <w:tc>
          <w:tcPr>
            <w:tcW w:w="3898" w:type="dxa"/>
            <w:tcBorders>
              <w:top w:val="nil"/>
              <w:bottom w:val="nil"/>
              <w:right w:val="single" w:sz="2" w:space="0" w:color="808080" w:themeColor="background1" w:themeShade="80"/>
            </w:tcBorders>
            <w:shd w:val="clear" w:color="auto" w:fill="FFFFFF" w:themeFill="background1"/>
            <w:vAlign w:val="center"/>
          </w:tcPr>
          <w:p w14:paraId="74C37A9A" w14:textId="0201889A"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76200C14" w14:textId="65B918E8"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(549</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467C4909" w14:textId="7A5F0F1C"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(579</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90ABC28" w14:textId="725F3B7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(495</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1BE114DD" w14:textId="39BC0A6D"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(512</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4EA1CF5" w14:textId="665BB701"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(56</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4" w:type="dxa"/>
            <w:tcBorders>
              <w:top w:val="nil"/>
              <w:left w:val="nil"/>
              <w:bottom w:val="nil"/>
              <w:right w:val="nil"/>
            </w:tcBorders>
            <w:shd w:val="clear" w:color="auto" w:fill="FFFFFF" w:themeFill="background1"/>
            <w:vAlign w:val="center"/>
          </w:tcPr>
          <w:p w14:paraId="44659F19" w14:textId="7F99CA1F"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(69</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r>
      <w:tr w:rsidR="0045696D" w:rsidRPr="008D17AB" w14:paraId="3757B1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558267B3" w14:textId="0FE21ECA"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bCs/>
                <w:sz w:val="18"/>
                <w:szCs w:val="18"/>
              </w:rPr>
              <w:t>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50624B52" w14:textId="7CCACA4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362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65F0658C" w14:textId="6AEEDCD8"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7</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5274A71E" w14:textId="2450CB1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354</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6</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603BFC05" w14:textId="507AC84C"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344</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784028A6" w14:textId="1B878D40"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b/>
                <w:color w:val="000000" w:themeColor="text1"/>
                <w:sz w:val="18"/>
                <w:szCs w:val="18"/>
              </w:rPr>
              <w:t>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9</w:t>
            </w:r>
          </w:p>
        </w:tc>
        <w:tc>
          <w:tcPr>
            <w:tcW w:w="1114" w:type="dxa"/>
            <w:tcBorders>
              <w:top w:val="nil"/>
              <w:left w:val="nil"/>
              <w:bottom w:val="nil"/>
              <w:right w:val="nil"/>
            </w:tcBorders>
            <w:shd w:val="clear" w:color="auto" w:fill="F2F2F2" w:themeFill="background1" w:themeFillShade="F2"/>
            <w:vAlign w:val="center"/>
          </w:tcPr>
          <w:p w14:paraId="50646A88" w14:textId="28CC39D1"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b/>
                <w:color w:val="000000" w:themeColor="text1"/>
                <w:sz w:val="18"/>
                <w:szCs w:val="18"/>
              </w:rPr>
              <w:t>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r>
      <w:tr w:rsidR="0045696D" w:rsidRPr="008D17AB" w14:paraId="5730E89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B3F317F" w14:textId="70C3F09E"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4A881F65" w14:textId="5AB59706"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3294632" w14:textId="6F80539C"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4</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4176EA91" w14:textId="1206E110"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0A11A6ED" w14:textId="4688D52B"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623D9B4D"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lang w:val="el-GR"/>
              </w:rPr>
              <w:t>-</w:t>
            </w:r>
          </w:p>
        </w:tc>
        <w:tc>
          <w:tcPr>
            <w:tcW w:w="1114" w:type="dxa"/>
            <w:tcBorders>
              <w:top w:val="nil"/>
              <w:left w:val="nil"/>
              <w:bottom w:val="nil"/>
              <w:right w:val="nil"/>
            </w:tcBorders>
            <w:shd w:val="clear" w:color="auto" w:fill="FFFFFF" w:themeFill="background1"/>
            <w:vAlign w:val="center"/>
          </w:tcPr>
          <w:p w14:paraId="707BC491" w14:textId="20ADD423"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r>
      <w:tr w:rsidR="0045696D" w:rsidRPr="008D17AB" w14:paraId="252C1DD6"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35308D4E" w14:textId="32561D3E" w:rsidR="0045696D" w:rsidRPr="00284899" w:rsidRDefault="00416C44" w:rsidP="004573DA">
            <w:pPr>
              <w:pStyle w:val="ColorfulList-Accent11"/>
              <w:tabs>
                <w:tab w:val="left" w:pos="0"/>
                <w:tab w:val="left" w:pos="284"/>
              </w:tabs>
              <w:ind w:left="0" w:right="-90"/>
              <w:rPr>
                <w:rFonts w:ascii="Arial" w:hAnsi="Arial" w:cs="Arial"/>
                <w:color w:val="000000" w:themeColor="text1"/>
                <w:sz w:val="18"/>
                <w:szCs w:val="18"/>
                <w:lang w:val="el-GR"/>
              </w:rPr>
            </w:pPr>
            <w:r w:rsidRPr="00537848">
              <w:rPr>
                <w:rFonts w:ascii="Arial" w:hAnsi="Arial" w:cs="Arial"/>
                <w:sz w:val="18"/>
                <w:szCs w:val="18"/>
                <w:lang w:val="el-GR"/>
              </w:rPr>
              <w:t xml:space="preserve">Κόστη σχετιζόμενα με τον φορ/κο έλεγχο της </w:t>
            </w:r>
            <w:r w:rsidRPr="00537848">
              <w:rPr>
                <w:rFonts w:ascii="Arial" w:hAnsi="Arial" w:cs="Arial"/>
                <w:sz w:val="18"/>
                <w:szCs w:val="18"/>
              </w:rPr>
              <w:t>TKRM</w:t>
            </w:r>
            <w:r w:rsidRPr="00537848">
              <w:rPr>
                <w:rFonts w:ascii="Arial" w:hAnsi="Arial" w:cs="Arial"/>
                <w:sz w:val="18"/>
                <w:szCs w:val="18"/>
                <w:lang w:val="el-GR"/>
              </w:rPr>
              <w:t xml:space="preserve"> για τις χρήσεις 2017-2021</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5B635996"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0D70C6DB"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3A898099"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8173A89"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3E2D6227"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nil"/>
              <w:bottom w:val="nil"/>
              <w:right w:val="nil"/>
            </w:tcBorders>
            <w:shd w:val="clear" w:color="auto" w:fill="FFFFFF" w:themeFill="background1"/>
            <w:vAlign w:val="center"/>
          </w:tcPr>
          <w:p w14:paraId="6E1B3779"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r>
      <w:tr w:rsidR="0045696D" w:rsidRPr="008D17AB" w14:paraId="7CEE8721"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F88E685" w14:textId="1E7CE8D6" w:rsidR="0045696D" w:rsidRPr="004573DA" w:rsidRDefault="00416C44" w:rsidP="004573DA">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Λοιπά έ</w:t>
            </w:r>
            <w:r w:rsidRPr="00A7639D">
              <w:rPr>
                <w:rFonts w:ascii="Arial" w:hAnsi="Arial" w:cs="Arial"/>
                <w:sz w:val="18"/>
                <w:szCs w:val="18"/>
              </w:rPr>
              <w:t>ξοδα αναδιοργάνωσης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060F7016" w14:textId="448D2716"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194BA73A" w14:textId="753B432A"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065B2E7F" w14:textId="13928509"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136A1E" w14:textId="4C9D1F29"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4ADAF2A4"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lang w:val="el-GR"/>
              </w:rPr>
              <w:t>-</w:t>
            </w:r>
          </w:p>
        </w:tc>
        <w:tc>
          <w:tcPr>
            <w:tcW w:w="1114" w:type="dxa"/>
            <w:tcBorders>
              <w:top w:val="nil"/>
              <w:left w:val="nil"/>
              <w:bottom w:val="nil"/>
              <w:right w:val="nil"/>
            </w:tcBorders>
            <w:shd w:val="clear" w:color="auto" w:fill="FFFFFF" w:themeFill="background1"/>
            <w:vAlign w:val="center"/>
          </w:tcPr>
          <w:p w14:paraId="4C9B4D3A"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lang w:val="el-GR"/>
              </w:rPr>
              <w:t>-</w:t>
            </w:r>
          </w:p>
        </w:tc>
      </w:tr>
      <w:tr w:rsidR="0045696D" w:rsidRPr="008D17AB" w14:paraId="47D343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68334F2" w14:textId="5B8D7220"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0227ED31" w14:textId="08FE324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365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50C32FBD" w14:textId="4B99FFC6"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359</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6</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6B0B55AE" w14:textId="186CD4E5"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2CE2D3E5" w14:textId="2A13BF6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2</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14E7D063" w14:textId="51A3E84E"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9</w:t>
            </w:r>
          </w:p>
        </w:tc>
        <w:tc>
          <w:tcPr>
            <w:tcW w:w="1114" w:type="dxa"/>
            <w:tcBorders>
              <w:top w:val="nil"/>
              <w:left w:val="nil"/>
              <w:bottom w:val="nil"/>
              <w:right w:val="nil"/>
            </w:tcBorders>
            <w:shd w:val="clear" w:color="auto" w:fill="F2F2F2" w:themeFill="background1" w:themeFillShade="F2"/>
            <w:vAlign w:val="center"/>
          </w:tcPr>
          <w:p w14:paraId="1C32116D" w14:textId="4AE8E03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8</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r>
      <w:tr w:rsidR="0045696D" w:rsidRPr="008D17AB" w14:paraId="66FC15A2" w14:textId="77777777" w:rsidTr="0045696D">
        <w:trPr>
          <w:trHeight w:val="484"/>
        </w:trPr>
        <w:tc>
          <w:tcPr>
            <w:tcW w:w="3898" w:type="dxa"/>
            <w:tcBorders>
              <w:top w:val="nil"/>
              <w:bottom w:val="nil"/>
              <w:right w:val="single" w:sz="2" w:space="0" w:color="808080" w:themeColor="background1" w:themeShade="80"/>
            </w:tcBorders>
            <w:shd w:val="clear" w:color="auto" w:fill="FFFFFF" w:themeFill="background1"/>
            <w:vAlign w:val="center"/>
          </w:tcPr>
          <w:p w14:paraId="615C8933" w14:textId="5C6028CA"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6A457D1C" w14:textId="038B74C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(18</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06DD8679" w14:textId="6A78092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(15</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7B7C87A0" w14:textId="29FBE1C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(12</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6C03C0" w14:textId="2A0F55D5"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(12</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11D8DC0E" w14:textId="5D8D7BA0"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(5</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4" w:type="dxa"/>
            <w:tcBorders>
              <w:top w:val="nil"/>
              <w:left w:val="nil"/>
              <w:bottom w:val="nil"/>
              <w:right w:val="nil"/>
            </w:tcBorders>
            <w:shd w:val="clear" w:color="auto" w:fill="FFFFFF" w:themeFill="background1"/>
            <w:vAlign w:val="center"/>
          </w:tcPr>
          <w:p w14:paraId="477ECFF0" w14:textId="1CD18382"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r>
      <w:tr w:rsidR="0045696D" w:rsidRPr="008D17AB" w14:paraId="72A52750" w14:textId="77777777" w:rsidTr="0045696D">
        <w:trPr>
          <w:trHeight w:val="249"/>
        </w:trPr>
        <w:tc>
          <w:tcPr>
            <w:tcW w:w="3898" w:type="dxa"/>
            <w:tcBorders>
              <w:top w:val="nil"/>
              <w:bottom w:val="nil"/>
              <w:right w:val="single" w:sz="2" w:space="0" w:color="808080" w:themeColor="background1" w:themeShade="80"/>
            </w:tcBorders>
            <w:shd w:val="clear" w:color="auto" w:fill="FFFFFF" w:themeFill="background1"/>
            <w:vAlign w:val="center"/>
          </w:tcPr>
          <w:p w14:paraId="7A2B1F71" w14:textId="7009AE30"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Τόκοι επί των υποχρεώσεων από μισθώσεις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1F8915AE" w14:textId="487E9514"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9116763" w14:textId="5580A31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5BB81D20" w14:textId="6E43499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1423E80" w14:textId="76976B1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564813B" w14:textId="1D374948"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4" w:type="dxa"/>
            <w:tcBorders>
              <w:top w:val="nil"/>
              <w:left w:val="nil"/>
              <w:bottom w:val="nil"/>
              <w:right w:val="nil"/>
            </w:tcBorders>
            <w:shd w:val="clear" w:color="auto" w:fill="FFFFFF" w:themeFill="background1"/>
            <w:vAlign w:val="center"/>
          </w:tcPr>
          <w:p w14:paraId="1BBE67E9" w14:textId="2A20D4A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45696D" w:rsidRPr="008D17AB" w14:paraId="09A1299A"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0E80A7C" w14:textId="3E6C5B5A"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331E4B3A" w14:textId="0EB0177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344</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5</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2C38C2CB" w14:textId="42C30C92"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341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1</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1895AD9B" w14:textId="7F8AAED6"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343</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1</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4131CE34" w14:textId="0101FC99"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337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0</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2EC071E4" w14:textId="08A6716D"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b/>
                <w:bCs/>
                <w:color w:val="000000" w:themeColor="text1"/>
                <w:sz w:val="18"/>
                <w:szCs w:val="18"/>
              </w:rPr>
              <w:t>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4</w:t>
            </w:r>
          </w:p>
        </w:tc>
        <w:tc>
          <w:tcPr>
            <w:tcW w:w="1114" w:type="dxa"/>
            <w:tcBorders>
              <w:top w:val="nil"/>
              <w:left w:val="nil"/>
              <w:bottom w:val="nil"/>
              <w:right w:val="nil"/>
            </w:tcBorders>
            <w:shd w:val="clear" w:color="auto" w:fill="F2F2F2" w:themeFill="background1" w:themeFillShade="F2"/>
            <w:vAlign w:val="center"/>
          </w:tcPr>
          <w:p w14:paraId="27DDF8DE" w14:textId="3DBA77D6"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4</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1</w:t>
            </w:r>
          </w:p>
        </w:tc>
      </w:tr>
      <w:tr w:rsidR="0045696D" w:rsidRPr="008D17AB" w14:paraId="38721BD0" w14:textId="77777777" w:rsidTr="0045696D">
        <w:trPr>
          <w:trHeight w:val="242"/>
        </w:trPr>
        <w:tc>
          <w:tcPr>
            <w:tcW w:w="3898"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33C05A" w14:textId="5DF96588" w:rsidR="0045696D" w:rsidRPr="00832C24" w:rsidRDefault="0045696D" w:rsidP="004573DA">
            <w:pPr>
              <w:pStyle w:val="ColorfulList-Accent11"/>
              <w:tabs>
                <w:tab w:val="left" w:pos="0"/>
                <w:tab w:val="left" w:pos="284"/>
              </w:tabs>
              <w:ind w:left="0" w:right="-90"/>
              <w:jc w:val="right"/>
              <w:rPr>
                <w:rFonts w:ascii="Arial" w:hAnsi="Arial" w:cs="Arial"/>
                <w:b/>
                <w:i/>
                <w:color w:val="000000" w:themeColor="text1"/>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B9678D2" w14:textId="0DAA8A0C"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38</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1%</w:t>
            </w:r>
          </w:p>
        </w:tc>
        <w:tc>
          <w:tcPr>
            <w:tcW w:w="1114"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A6112B" w14:textId="31BF81A3"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36</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7%</w:t>
            </w:r>
          </w:p>
        </w:tc>
        <w:tc>
          <w:tcPr>
            <w:tcW w:w="1114"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BED6248" w14:textId="2D6A250A"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40</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7%</w:t>
            </w:r>
          </w:p>
        </w:tc>
        <w:tc>
          <w:tcPr>
            <w:tcW w:w="1114"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4CE03ED2" w14:textId="2FF723DB"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39</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4%</w:t>
            </w:r>
          </w:p>
        </w:tc>
        <w:tc>
          <w:tcPr>
            <w:tcW w:w="1183"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51D6CFE3" w14:textId="7BD741A8"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bCs/>
                <w:i/>
                <w:iCs/>
                <w:color w:val="000000" w:themeColor="text1"/>
                <w:sz w:val="18"/>
                <w:szCs w:val="18"/>
              </w:rPr>
              <w:t>2</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2%</w:t>
            </w:r>
          </w:p>
        </w:tc>
        <w:tc>
          <w:tcPr>
            <w:tcW w:w="1114" w:type="dxa"/>
            <w:tcBorders>
              <w:top w:val="nil"/>
              <w:left w:val="nil"/>
              <w:bottom w:val="single" w:sz="2" w:space="0" w:color="808080" w:themeColor="background1" w:themeShade="80"/>
              <w:right w:val="nil"/>
            </w:tcBorders>
            <w:shd w:val="clear" w:color="auto" w:fill="F2F2F2" w:themeFill="background1" w:themeFillShade="F2"/>
            <w:vAlign w:val="center"/>
          </w:tcPr>
          <w:p w14:paraId="38F209E3" w14:textId="47148364"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i/>
                <w:color w:val="000000" w:themeColor="text1"/>
                <w:sz w:val="18"/>
                <w:szCs w:val="18"/>
              </w:rPr>
              <w:t>5</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3</w:t>
            </w:r>
            <w:r w:rsidRPr="00832C24">
              <w:rPr>
                <w:rFonts w:ascii="Arial" w:hAnsi="Arial" w:cs="Arial"/>
                <w:b/>
                <w:i/>
                <w:color w:val="000000" w:themeColor="text1"/>
                <w:sz w:val="18"/>
                <w:szCs w:val="18"/>
              </w:rPr>
              <w:t>%</w:t>
            </w:r>
          </w:p>
        </w:tc>
      </w:tr>
    </w:tbl>
    <w:p w14:paraId="55BDD01B" w14:textId="69084C66" w:rsidR="00386EA0" w:rsidRDefault="00386EA0" w:rsidP="00F74FE4">
      <w:pPr>
        <w:tabs>
          <w:tab w:val="left" w:pos="0"/>
        </w:tabs>
        <w:ind w:hanging="993"/>
        <w:jc w:val="both"/>
        <w:rPr>
          <w:rFonts w:ascii="Arial" w:hAnsi="Arial" w:cs="Arial"/>
          <w:b/>
        </w:rPr>
      </w:pPr>
    </w:p>
    <w:tbl>
      <w:tblPr>
        <w:tblStyle w:val="TableGrid"/>
        <w:tblW w:w="1065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13"/>
        <w:gridCol w:w="1077"/>
        <w:gridCol w:w="1118"/>
        <w:gridCol w:w="1118"/>
        <w:gridCol w:w="1119"/>
        <w:gridCol w:w="1188"/>
        <w:gridCol w:w="1117"/>
      </w:tblGrid>
      <w:tr w:rsidR="00D6457A" w:rsidRPr="001925CD" w14:paraId="7E649B6D" w14:textId="77777777" w:rsidTr="00744EE5">
        <w:trPr>
          <w:trHeight w:val="368"/>
        </w:trPr>
        <w:tc>
          <w:tcPr>
            <w:tcW w:w="3913" w:type="dxa"/>
            <w:vMerge w:val="restart"/>
            <w:tcBorders>
              <w:top w:val="single" w:sz="2" w:space="0" w:color="808080" w:themeColor="background1" w:themeShade="80"/>
              <w:bottom w:val="nil"/>
              <w:right w:val="single" w:sz="2" w:space="0" w:color="808080" w:themeColor="background1" w:themeShade="80"/>
            </w:tcBorders>
            <w:vAlign w:val="center"/>
          </w:tcPr>
          <w:p w14:paraId="6D543150" w14:textId="6B414A27"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sidRPr="00832C24">
              <w:rPr>
                <w:rFonts w:ascii="Arial" w:hAnsi="Arial" w:cs="Arial"/>
                <w:b/>
                <w:color w:val="000000" w:themeColor="text1"/>
                <w:sz w:val="18"/>
                <w:lang w:val="el-GR"/>
              </w:rPr>
              <w:t>12</w:t>
            </w:r>
            <w:r w:rsidRPr="00832C24">
              <w:rPr>
                <w:rFonts w:ascii="Arial" w:hAnsi="Arial" w:cs="Arial"/>
                <w:b/>
                <w:color w:val="000000" w:themeColor="text1"/>
                <w:sz w:val="18"/>
              </w:rPr>
              <w:t xml:space="preserve">M’24 </w:t>
            </w:r>
            <w:r w:rsidRPr="00810E77">
              <w:rPr>
                <w:rFonts w:ascii="Arial" w:hAnsi="Arial" w:cs="Arial"/>
                <w:b/>
                <w:sz w:val="18"/>
                <w:szCs w:val="18"/>
              </w:rPr>
              <w:t>(</w:t>
            </w:r>
            <w:r w:rsidRPr="00A7639D">
              <w:rPr>
                <w:rFonts w:ascii="Arial" w:hAnsi="Arial" w:cs="Arial"/>
                <w:b/>
                <w:sz w:val="18"/>
                <w:szCs w:val="18"/>
              </w:rPr>
              <w:t>Ευρώ εκατ.)</w:t>
            </w:r>
          </w:p>
        </w:tc>
        <w:tc>
          <w:tcPr>
            <w:tcW w:w="2195" w:type="dxa"/>
            <w:gridSpan w:val="2"/>
            <w:tcBorders>
              <w:top w:val="single" w:sz="2" w:space="0" w:color="808080" w:themeColor="background1" w:themeShade="80"/>
              <w:left w:val="single" w:sz="2" w:space="0" w:color="808080" w:themeColor="background1" w:themeShade="80"/>
              <w:bottom w:val="nil"/>
              <w:right w:val="nil"/>
            </w:tcBorders>
            <w:vAlign w:val="center"/>
          </w:tcPr>
          <w:p w14:paraId="51F4CD7C" w14:textId="2AB35053"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Pr>
                <w:rFonts w:ascii="Arial" w:hAnsi="Arial" w:cs="Arial"/>
                <w:b/>
                <w:color w:val="000000" w:themeColor="text1"/>
                <w:sz w:val="18"/>
                <w:szCs w:val="18"/>
                <w:lang w:val="el-GR"/>
              </w:rPr>
              <w:t>Όμιλος</w:t>
            </w:r>
          </w:p>
        </w:tc>
        <w:tc>
          <w:tcPr>
            <w:tcW w:w="2237" w:type="dxa"/>
            <w:gridSpan w:val="2"/>
            <w:tcBorders>
              <w:top w:val="single" w:sz="2" w:space="0" w:color="808080" w:themeColor="background1" w:themeShade="80"/>
              <w:left w:val="single" w:sz="4" w:space="0" w:color="A6A6A6" w:themeColor="background1" w:themeShade="A6"/>
              <w:bottom w:val="nil"/>
              <w:right w:val="single" w:sz="4" w:space="0" w:color="A6A6A6" w:themeColor="background1" w:themeShade="A6"/>
            </w:tcBorders>
            <w:vAlign w:val="center"/>
          </w:tcPr>
          <w:p w14:paraId="377BFEF7" w14:textId="4971C0B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Pr>
                <w:rFonts w:ascii="Arial" w:hAnsi="Arial" w:cs="Arial"/>
                <w:b/>
                <w:color w:val="000000" w:themeColor="text1"/>
                <w:sz w:val="18"/>
                <w:szCs w:val="18"/>
                <w:lang w:val="el-GR"/>
              </w:rPr>
              <w:t>Ελλάδα</w:t>
            </w:r>
          </w:p>
        </w:tc>
        <w:tc>
          <w:tcPr>
            <w:tcW w:w="2305" w:type="dxa"/>
            <w:gridSpan w:val="2"/>
            <w:tcBorders>
              <w:top w:val="single" w:sz="2" w:space="0" w:color="808080" w:themeColor="background1" w:themeShade="80"/>
              <w:left w:val="single" w:sz="4" w:space="0" w:color="A6A6A6" w:themeColor="background1" w:themeShade="A6"/>
              <w:bottom w:val="nil"/>
              <w:right w:val="nil"/>
            </w:tcBorders>
            <w:vAlign w:val="center"/>
          </w:tcPr>
          <w:p w14:paraId="2AF1194E" w14:textId="5C1F3C11" w:rsidR="00D6457A" w:rsidRPr="00832C24" w:rsidRDefault="00D6457A" w:rsidP="00D6457A">
            <w:pPr>
              <w:pStyle w:val="ColorfulList-Accent11"/>
              <w:tabs>
                <w:tab w:val="left" w:pos="0"/>
                <w:tab w:val="left" w:pos="284"/>
              </w:tabs>
              <w:ind w:left="0" w:right="-90"/>
              <w:jc w:val="center"/>
              <w:rPr>
                <w:rFonts w:ascii="Arial" w:hAnsi="Arial" w:cs="Arial"/>
                <w:b/>
                <w:color w:val="000000" w:themeColor="text1"/>
                <w:sz w:val="18"/>
              </w:rPr>
            </w:pPr>
            <w:r>
              <w:rPr>
                <w:rFonts w:ascii="Arial" w:hAnsi="Arial" w:cs="Arial"/>
                <w:b/>
                <w:color w:val="000000" w:themeColor="text1"/>
                <w:sz w:val="18"/>
                <w:szCs w:val="18"/>
                <w:lang w:val="el-GR"/>
              </w:rPr>
              <w:t>Ρουμανία</w:t>
            </w:r>
          </w:p>
        </w:tc>
      </w:tr>
      <w:tr w:rsidR="004A230E" w:rsidRPr="001925CD" w14:paraId="2828101C" w14:textId="77777777" w:rsidTr="00D6457A">
        <w:trPr>
          <w:trHeight w:val="368"/>
        </w:trPr>
        <w:tc>
          <w:tcPr>
            <w:tcW w:w="3913" w:type="dxa"/>
            <w:vMerge/>
            <w:tcBorders>
              <w:top w:val="nil"/>
              <w:bottom w:val="single" w:sz="2" w:space="0" w:color="808080" w:themeColor="background1" w:themeShade="80"/>
              <w:right w:val="single" w:sz="2" w:space="0" w:color="808080" w:themeColor="background1" w:themeShade="80"/>
            </w:tcBorders>
            <w:vAlign w:val="center"/>
          </w:tcPr>
          <w:p w14:paraId="74AB997C" w14:textId="77777777" w:rsidR="004A230E" w:rsidRPr="00832C24" w:rsidRDefault="004A230E" w:rsidP="00744EE5">
            <w:pPr>
              <w:pStyle w:val="ColorfulList-Accent11"/>
              <w:tabs>
                <w:tab w:val="left" w:pos="0"/>
                <w:tab w:val="left" w:pos="284"/>
              </w:tabs>
              <w:ind w:left="0" w:right="-90"/>
              <w:rPr>
                <w:rFonts w:ascii="Arial" w:hAnsi="Arial" w:cs="Arial"/>
                <w:b/>
                <w:color w:val="000000" w:themeColor="text1"/>
                <w:sz w:val="18"/>
              </w:rPr>
            </w:pPr>
          </w:p>
        </w:tc>
        <w:tc>
          <w:tcPr>
            <w:tcW w:w="1077" w:type="dxa"/>
            <w:tcBorders>
              <w:top w:val="nil"/>
              <w:left w:val="single" w:sz="2" w:space="0" w:color="808080" w:themeColor="background1" w:themeShade="80"/>
              <w:bottom w:val="single" w:sz="2" w:space="0" w:color="808080" w:themeColor="background1" w:themeShade="80"/>
              <w:right w:val="nil"/>
            </w:tcBorders>
            <w:vAlign w:val="center"/>
          </w:tcPr>
          <w:p w14:paraId="762C11AB"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12M'24</w:t>
            </w:r>
          </w:p>
        </w:tc>
        <w:tc>
          <w:tcPr>
            <w:tcW w:w="1118" w:type="dxa"/>
            <w:tcBorders>
              <w:top w:val="nil"/>
              <w:left w:val="nil"/>
              <w:bottom w:val="single" w:sz="2" w:space="0" w:color="808080" w:themeColor="background1" w:themeShade="80"/>
              <w:right w:val="nil"/>
            </w:tcBorders>
            <w:vAlign w:val="center"/>
          </w:tcPr>
          <w:p w14:paraId="13AED56B"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12M’23</w:t>
            </w:r>
          </w:p>
        </w:tc>
        <w:tc>
          <w:tcPr>
            <w:tcW w:w="1118" w:type="dxa"/>
            <w:tcBorders>
              <w:top w:val="nil"/>
              <w:left w:val="single" w:sz="4" w:space="0" w:color="A6A6A6" w:themeColor="background1" w:themeShade="A6"/>
              <w:bottom w:val="single" w:sz="2" w:space="0" w:color="808080" w:themeColor="background1" w:themeShade="80"/>
              <w:right w:val="nil"/>
            </w:tcBorders>
            <w:vAlign w:val="center"/>
          </w:tcPr>
          <w:p w14:paraId="353E2CEF"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12M'24</w:t>
            </w:r>
          </w:p>
        </w:tc>
        <w:tc>
          <w:tcPr>
            <w:tcW w:w="1119" w:type="dxa"/>
            <w:tcBorders>
              <w:top w:val="nil"/>
              <w:left w:val="nil"/>
              <w:bottom w:val="single" w:sz="2" w:space="0" w:color="808080" w:themeColor="background1" w:themeShade="80"/>
              <w:right w:val="single" w:sz="4" w:space="0" w:color="A6A6A6" w:themeColor="background1" w:themeShade="A6"/>
            </w:tcBorders>
            <w:vAlign w:val="center"/>
          </w:tcPr>
          <w:p w14:paraId="2D4E961B"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12M’23</w:t>
            </w:r>
          </w:p>
        </w:tc>
        <w:tc>
          <w:tcPr>
            <w:tcW w:w="1188" w:type="dxa"/>
            <w:tcBorders>
              <w:top w:val="nil"/>
              <w:left w:val="single" w:sz="4" w:space="0" w:color="A6A6A6" w:themeColor="background1" w:themeShade="A6"/>
              <w:bottom w:val="single" w:sz="2" w:space="0" w:color="808080" w:themeColor="background1" w:themeShade="80"/>
              <w:right w:val="nil"/>
            </w:tcBorders>
            <w:vAlign w:val="center"/>
          </w:tcPr>
          <w:p w14:paraId="3AE15603"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12M'24</w:t>
            </w:r>
          </w:p>
        </w:tc>
        <w:tc>
          <w:tcPr>
            <w:tcW w:w="1117" w:type="dxa"/>
            <w:tcBorders>
              <w:top w:val="nil"/>
              <w:left w:val="nil"/>
              <w:bottom w:val="single" w:sz="2" w:space="0" w:color="808080" w:themeColor="background1" w:themeShade="80"/>
              <w:right w:val="nil"/>
            </w:tcBorders>
            <w:vAlign w:val="center"/>
          </w:tcPr>
          <w:p w14:paraId="71AD8083"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12M’23</w:t>
            </w:r>
          </w:p>
        </w:tc>
      </w:tr>
      <w:tr w:rsidR="00D6457A" w:rsidRPr="00CB2E23" w14:paraId="2A4E4FFB" w14:textId="77777777" w:rsidTr="00D6457A">
        <w:trPr>
          <w:trHeight w:val="256"/>
        </w:trPr>
        <w:tc>
          <w:tcPr>
            <w:tcW w:w="3913"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23FED904" w14:textId="5EC51660" w:rsidR="00D6457A" w:rsidRPr="00832C24" w:rsidRDefault="00D6457A" w:rsidP="00D6457A">
            <w:pPr>
              <w:pStyle w:val="ColorfulList-Accent11"/>
              <w:tabs>
                <w:tab w:val="left" w:pos="0"/>
                <w:tab w:val="left" w:pos="284"/>
              </w:tabs>
              <w:ind w:left="0" w:right="-90"/>
              <w:rPr>
                <w:rFonts w:ascii="Arial" w:hAnsi="Arial" w:cs="Arial"/>
                <w:b/>
                <w:i/>
                <w:color w:val="000000" w:themeColor="text1"/>
                <w:sz w:val="18"/>
              </w:rPr>
            </w:pPr>
            <w:r>
              <w:rPr>
                <w:rFonts w:ascii="Arial" w:hAnsi="Arial" w:cs="Arial"/>
                <w:b/>
                <w:bCs/>
                <w:sz w:val="18"/>
                <w:szCs w:val="18"/>
                <w:lang w:val="el-GR"/>
              </w:rPr>
              <w:t>Σύνολο κύκλου εργασιών</w:t>
            </w:r>
          </w:p>
        </w:tc>
        <w:tc>
          <w:tcPr>
            <w:tcW w:w="107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2D835F0" w14:textId="1A4D1DEB"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590</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8</w:t>
            </w:r>
          </w:p>
        </w:tc>
        <w:tc>
          <w:tcPr>
            <w:tcW w:w="1118" w:type="dxa"/>
            <w:tcBorders>
              <w:top w:val="single" w:sz="2" w:space="0" w:color="808080" w:themeColor="background1" w:themeShade="80"/>
              <w:left w:val="nil"/>
              <w:bottom w:val="nil"/>
              <w:right w:val="nil"/>
            </w:tcBorders>
            <w:shd w:val="clear" w:color="auto" w:fill="F2F2F2" w:themeFill="background1" w:themeFillShade="F2"/>
            <w:vAlign w:val="center"/>
          </w:tcPr>
          <w:p w14:paraId="3B99F69A" w14:textId="54D808DE"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468</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9</w:t>
            </w:r>
          </w:p>
        </w:tc>
        <w:tc>
          <w:tcPr>
            <w:tcW w:w="1118"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C96578E" w14:textId="6864895D"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334</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0</w:t>
            </w:r>
          </w:p>
        </w:tc>
        <w:tc>
          <w:tcPr>
            <w:tcW w:w="1119"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4EA99264" w14:textId="565CCFB1"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189</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4</w:t>
            </w:r>
          </w:p>
        </w:tc>
        <w:tc>
          <w:tcPr>
            <w:tcW w:w="1188"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5A61DBD2" w14:textId="150CA0DB" w:rsidR="00D6457A" w:rsidRPr="00CB2E23" w:rsidRDefault="00D6457A" w:rsidP="00D6457A">
            <w:pPr>
              <w:pStyle w:val="ColorfulList-Accent11"/>
              <w:tabs>
                <w:tab w:val="left" w:pos="0"/>
                <w:tab w:val="left" w:pos="284"/>
              </w:tabs>
              <w:ind w:left="0" w:right="-90"/>
              <w:jc w:val="center"/>
              <w:rPr>
                <w:rFonts w:ascii="Arial" w:hAnsi="Arial" w:cs="Arial"/>
                <w:b/>
                <w:bCs/>
                <w:color w:val="000000" w:themeColor="text1"/>
                <w:sz w:val="18"/>
              </w:rPr>
            </w:pPr>
            <w:r w:rsidRPr="00CB2E23">
              <w:rPr>
                <w:rFonts w:ascii="Arial" w:hAnsi="Arial" w:cs="Arial"/>
                <w:b/>
                <w:bCs/>
                <w:color w:val="000000" w:themeColor="text1"/>
                <w:sz w:val="18"/>
                <w:szCs w:val="18"/>
              </w:rPr>
              <w:t>263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3</w:t>
            </w:r>
          </w:p>
        </w:tc>
        <w:tc>
          <w:tcPr>
            <w:tcW w:w="1117" w:type="dxa"/>
            <w:tcBorders>
              <w:top w:val="single" w:sz="2" w:space="0" w:color="808080" w:themeColor="background1" w:themeShade="80"/>
              <w:left w:val="nil"/>
              <w:bottom w:val="nil"/>
              <w:right w:val="nil"/>
            </w:tcBorders>
            <w:shd w:val="clear" w:color="auto" w:fill="F2F2F2" w:themeFill="background1" w:themeFillShade="F2"/>
            <w:vAlign w:val="center"/>
          </w:tcPr>
          <w:p w14:paraId="773AEACA" w14:textId="78A0B66F" w:rsidR="00D6457A" w:rsidRPr="00CB2E23" w:rsidRDefault="00D6457A" w:rsidP="00D6457A">
            <w:pPr>
              <w:pStyle w:val="ColorfulList-Accent11"/>
              <w:tabs>
                <w:tab w:val="left" w:pos="0"/>
                <w:tab w:val="left" w:pos="284"/>
              </w:tabs>
              <w:ind w:left="0" w:right="-90"/>
              <w:jc w:val="center"/>
              <w:rPr>
                <w:rFonts w:ascii="Arial" w:hAnsi="Arial" w:cs="Arial"/>
                <w:b/>
                <w:bCs/>
                <w:color w:val="000000" w:themeColor="text1"/>
                <w:sz w:val="18"/>
              </w:rPr>
            </w:pPr>
            <w:r w:rsidRPr="00CB2E23">
              <w:rPr>
                <w:rFonts w:ascii="Arial" w:hAnsi="Arial" w:cs="Arial"/>
                <w:b/>
                <w:bCs/>
                <w:color w:val="000000" w:themeColor="text1"/>
                <w:sz w:val="18"/>
                <w:szCs w:val="18"/>
              </w:rPr>
              <w:t>286</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9</w:t>
            </w:r>
          </w:p>
        </w:tc>
      </w:tr>
      <w:tr w:rsidR="00D6457A" w:rsidRPr="001925CD" w14:paraId="1D2A4748"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195F08C2" w14:textId="5355EBA0"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sidRPr="00583090">
              <w:rPr>
                <w:rFonts w:ascii="Arial" w:hAnsi="Arial" w:cs="Arial"/>
                <w:iCs/>
                <w:sz w:val="18"/>
                <w:szCs w:val="18"/>
                <w:lang w:val="el-GR"/>
              </w:rPr>
              <w:t>Λοιπά λειτουργικά έσοδα</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6DDFB345" w14:textId="008C57A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12</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c>
          <w:tcPr>
            <w:tcW w:w="1118" w:type="dxa"/>
            <w:tcBorders>
              <w:top w:val="nil"/>
              <w:left w:val="nil"/>
              <w:bottom w:val="nil"/>
              <w:right w:val="nil"/>
            </w:tcBorders>
            <w:shd w:val="clear" w:color="auto" w:fill="FFFFFF" w:themeFill="background1"/>
            <w:vAlign w:val="center"/>
          </w:tcPr>
          <w:p w14:paraId="39ED5222" w14:textId="0BAA8F1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6074A3C3" w14:textId="2A46755D"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75BB5FA1" w14:textId="6BDABB37"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3050A3FE" w14:textId="4863BA7A"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17" w:type="dxa"/>
            <w:tcBorders>
              <w:top w:val="nil"/>
              <w:left w:val="nil"/>
              <w:bottom w:val="nil"/>
              <w:right w:val="nil"/>
            </w:tcBorders>
            <w:shd w:val="clear" w:color="auto" w:fill="FFFFFF" w:themeFill="background1"/>
            <w:vAlign w:val="center"/>
          </w:tcPr>
          <w:p w14:paraId="20B00E88" w14:textId="5143F81C"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D6457A" w:rsidRPr="001925CD" w14:paraId="31D8A1EF" w14:textId="77777777" w:rsidTr="00D6457A">
        <w:trPr>
          <w:trHeight w:val="413"/>
        </w:trPr>
        <w:tc>
          <w:tcPr>
            <w:tcW w:w="3913" w:type="dxa"/>
            <w:tcBorders>
              <w:top w:val="nil"/>
              <w:bottom w:val="nil"/>
              <w:right w:val="single" w:sz="2" w:space="0" w:color="808080" w:themeColor="background1" w:themeShade="80"/>
            </w:tcBorders>
            <w:shd w:val="clear" w:color="auto" w:fill="FFFFFF" w:themeFill="background1"/>
            <w:vAlign w:val="center"/>
          </w:tcPr>
          <w:p w14:paraId="79FD60C1" w14:textId="22295046" w:rsidR="00D6457A" w:rsidRPr="00D6457A" w:rsidRDefault="00D6457A" w:rsidP="00D6457A">
            <w:pPr>
              <w:pStyle w:val="ColorfulList-Accent11"/>
              <w:tabs>
                <w:tab w:val="left" w:pos="0"/>
                <w:tab w:val="left" w:pos="284"/>
              </w:tabs>
              <w:ind w:left="0" w:right="-90"/>
              <w:rPr>
                <w:rFonts w:ascii="Arial" w:hAnsi="Arial" w:cs="Arial"/>
                <w:i/>
                <w:color w:val="000000" w:themeColor="text1"/>
                <w:sz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0875D6E2" w14:textId="7C2EBC40"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231</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8" w:type="dxa"/>
            <w:tcBorders>
              <w:top w:val="nil"/>
              <w:left w:val="nil"/>
              <w:bottom w:val="nil"/>
              <w:right w:val="nil"/>
            </w:tcBorders>
            <w:shd w:val="clear" w:color="auto" w:fill="FFFFFF" w:themeFill="background1"/>
            <w:vAlign w:val="center"/>
          </w:tcPr>
          <w:p w14:paraId="2BC15EDD" w14:textId="1196D256"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096</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3461180E" w14:textId="18E7451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977</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0BE4ADC7" w14:textId="2124807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851</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5EEB52DB" w14:textId="7D3A817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(261</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17" w:type="dxa"/>
            <w:tcBorders>
              <w:top w:val="nil"/>
              <w:left w:val="nil"/>
              <w:bottom w:val="nil"/>
              <w:right w:val="nil"/>
            </w:tcBorders>
            <w:shd w:val="clear" w:color="auto" w:fill="FFFFFF" w:themeFill="background1"/>
            <w:vAlign w:val="center"/>
          </w:tcPr>
          <w:p w14:paraId="04D671CE" w14:textId="62C3D917"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(253</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r>
      <w:tr w:rsidR="00D6457A" w:rsidRPr="001925CD" w14:paraId="637C4A8D" w14:textId="77777777" w:rsidTr="00D6457A">
        <w:trPr>
          <w:trHeight w:val="247"/>
        </w:trPr>
        <w:tc>
          <w:tcPr>
            <w:tcW w:w="3913" w:type="dxa"/>
            <w:tcBorders>
              <w:top w:val="nil"/>
              <w:bottom w:val="nil"/>
              <w:right w:val="single" w:sz="2" w:space="0" w:color="808080" w:themeColor="background1" w:themeShade="80"/>
            </w:tcBorders>
            <w:shd w:val="clear" w:color="auto" w:fill="F2F2F2" w:themeFill="background1" w:themeFillShade="F2"/>
            <w:vAlign w:val="center"/>
          </w:tcPr>
          <w:p w14:paraId="5EC92D35" w14:textId="68A5DA25"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sidRPr="00810E77">
              <w:rPr>
                <w:rFonts w:ascii="Arial" w:hAnsi="Arial" w:cs="Arial"/>
                <w:b/>
                <w:bCs/>
                <w:sz w:val="18"/>
                <w:szCs w:val="18"/>
              </w:rPr>
              <w:t>EBITDA</w:t>
            </w:r>
          </w:p>
        </w:tc>
        <w:tc>
          <w:tcPr>
            <w:tcW w:w="1077" w:type="dxa"/>
            <w:tcBorders>
              <w:top w:val="nil"/>
              <w:left w:val="single" w:sz="2" w:space="0" w:color="808080" w:themeColor="background1" w:themeShade="80"/>
              <w:bottom w:val="nil"/>
              <w:right w:val="nil"/>
            </w:tcBorders>
            <w:shd w:val="clear" w:color="auto" w:fill="F2F2F2" w:themeFill="background1" w:themeFillShade="F2"/>
            <w:vAlign w:val="center"/>
          </w:tcPr>
          <w:p w14:paraId="66D82CDC" w14:textId="678412D7"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371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7</w:t>
            </w:r>
          </w:p>
        </w:tc>
        <w:tc>
          <w:tcPr>
            <w:tcW w:w="1118" w:type="dxa"/>
            <w:tcBorders>
              <w:top w:val="nil"/>
              <w:left w:val="nil"/>
              <w:bottom w:val="nil"/>
              <w:right w:val="nil"/>
            </w:tcBorders>
            <w:shd w:val="clear" w:color="auto" w:fill="F2F2F2" w:themeFill="background1" w:themeFillShade="F2"/>
            <w:vAlign w:val="center"/>
          </w:tcPr>
          <w:p w14:paraId="0E3DCF43" w14:textId="6359EA5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382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2</w:t>
            </w:r>
          </w:p>
        </w:tc>
        <w:tc>
          <w:tcPr>
            <w:tcW w:w="1118" w:type="dxa"/>
            <w:tcBorders>
              <w:top w:val="nil"/>
              <w:left w:val="single" w:sz="4" w:space="0" w:color="A6A6A6" w:themeColor="background1" w:themeShade="A6"/>
              <w:bottom w:val="nil"/>
              <w:right w:val="nil"/>
            </w:tcBorders>
            <w:shd w:val="clear" w:color="auto" w:fill="F2F2F2" w:themeFill="background1" w:themeFillShade="F2"/>
            <w:vAlign w:val="center"/>
          </w:tcPr>
          <w:p w14:paraId="744500EC" w14:textId="3A1DF07D"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367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19" w:type="dxa"/>
            <w:tcBorders>
              <w:top w:val="nil"/>
              <w:left w:val="nil"/>
              <w:bottom w:val="nil"/>
              <w:right w:val="single" w:sz="4" w:space="0" w:color="A6A6A6" w:themeColor="background1" w:themeShade="A6"/>
            </w:tcBorders>
            <w:shd w:val="clear" w:color="auto" w:fill="F2F2F2" w:themeFill="background1" w:themeFillShade="F2"/>
            <w:vAlign w:val="center"/>
          </w:tcPr>
          <w:p w14:paraId="164157CC" w14:textId="715C1A0C"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345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88" w:type="dxa"/>
            <w:tcBorders>
              <w:top w:val="nil"/>
              <w:left w:val="single" w:sz="4" w:space="0" w:color="A6A6A6" w:themeColor="background1" w:themeShade="A6"/>
              <w:bottom w:val="nil"/>
              <w:right w:val="nil"/>
            </w:tcBorders>
            <w:shd w:val="clear" w:color="auto" w:fill="F2F2F2" w:themeFill="background1" w:themeFillShade="F2"/>
            <w:vAlign w:val="center"/>
          </w:tcPr>
          <w:p w14:paraId="63D1DC8A" w14:textId="08D9C5A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color w:val="000000" w:themeColor="text1"/>
                <w:sz w:val="18"/>
                <w:szCs w:val="18"/>
              </w:rPr>
              <w:t>4</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c>
          <w:tcPr>
            <w:tcW w:w="1117" w:type="dxa"/>
            <w:tcBorders>
              <w:top w:val="nil"/>
              <w:left w:val="nil"/>
              <w:bottom w:val="nil"/>
              <w:right w:val="nil"/>
            </w:tcBorders>
            <w:shd w:val="clear" w:color="auto" w:fill="F2F2F2" w:themeFill="background1" w:themeFillShade="F2"/>
            <w:vAlign w:val="center"/>
          </w:tcPr>
          <w:p w14:paraId="05067327" w14:textId="443D2E38"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color w:val="000000" w:themeColor="text1"/>
                <w:sz w:val="18"/>
                <w:szCs w:val="18"/>
              </w:rPr>
              <w:t>36</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7</w:t>
            </w:r>
          </w:p>
        </w:tc>
      </w:tr>
      <w:tr w:rsidR="00D6457A" w:rsidRPr="001925CD" w14:paraId="54220407"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3244E395" w14:textId="73101BB9" w:rsidR="00D6457A" w:rsidRPr="00D6457A" w:rsidRDefault="00D6457A" w:rsidP="00D6457A">
            <w:pPr>
              <w:pStyle w:val="ColorfulList-Accent11"/>
              <w:tabs>
                <w:tab w:val="left" w:pos="0"/>
                <w:tab w:val="left" w:pos="284"/>
              </w:tabs>
              <w:ind w:left="0" w:right="-90"/>
              <w:rPr>
                <w:rFonts w:ascii="Arial" w:hAnsi="Arial" w:cs="Arial"/>
                <w:color w:val="000000" w:themeColor="text1"/>
                <w:sz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17DB953C" w14:textId="2A26BEF0"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33</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8" w:type="dxa"/>
            <w:tcBorders>
              <w:top w:val="nil"/>
              <w:left w:val="nil"/>
              <w:bottom w:val="nil"/>
              <w:right w:val="nil"/>
            </w:tcBorders>
            <w:shd w:val="clear" w:color="auto" w:fill="FFFFFF" w:themeFill="background1"/>
            <w:vAlign w:val="center"/>
          </w:tcPr>
          <w:p w14:paraId="5DF8EAEC" w14:textId="2C8A1B5C"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35</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31594E8E" w14:textId="77943134"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33</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4A2769DD" w14:textId="61842B42"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33</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651519AD" w14:textId="0EBC102D"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2</w:t>
            </w:r>
          </w:p>
        </w:tc>
        <w:tc>
          <w:tcPr>
            <w:tcW w:w="1117" w:type="dxa"/>
            <w:tcBorders>
              <w:top w:val="nil"/>
              <w:left w:val="nil"/>
              <w:bottom w:val="nil"/>
              <w:right w:val="nil"/>
            </w:tcBorders>
            <w:shd w:val="clear" w:color="auto" w:fill="FFFFFF" w:themeFill="background1"/>
            <w:vAlign w:val="center"/>
          </w:tcPr>
          <w:p w14:paraId="7586EC3E" w14:textId="2CD174F5"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r>
      <w:tr w:rsidR="00D6457A" w:rsidRPr="001925CD" w14:paraId="47C74B9A"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380163F9" w14:textId="5EC8B0D3" w:rsidR="00D6457A" w:rsidRPr="00284899" w:rsidRDefault="00455246" w:rsidP="00D6457A">
            <w:pPr>
              <w:pStyle w:val="ColorfulList-Accent11"/>
              <w:tabs>
                <w:tab w:val="left" w:pos="0"/>
                <w:tab w:val="left" w:pos="284"/>
              </w:tabs>
              <w:ind w:left="0" w:right="-90"/>
              <w:rPr>
                <w:rFonts w:ascii="Arial" w:hAnsi="Arial" w:cs="Arial"/>
                <w:color w:val="000000" w:themeColor="text1"/>
                <w:sz w:val="18"/>
                <w:lang w:val="el-GR"/>
              </w:rPr>
            </w:pPr>
            <w:r w:rsidRPr="00537848">
              <w:rPr>
                <w:rFonts w:ascii="Arial" w:hAnsi="Arial" w:cs="Arial"/>
                <w:sz w:val="18"/>
                <w:szCs w:val="18"/>
                <w:lang w:val="el-GR"/>
              </w:rPr>
              <w:t xml:space="preserve">Κόστη σχετιζόμενα με τον φορ/κο έλεγχο της </w:t>
            </w:r>
            <w:r w:rsidRPr="00537848">
              <w:rPr>
                <w:rFonts w:ascii="Arial" w:hAnsi="Arial" w:cs="Arial"/>
                <w:sz w:val="18"/>
                <w:szCs w:val="18"/>
              </w:rPr>
              <w:t>TKRM</w:t>
            </w:r>
            <w:r w:rsidRPr="00537848">
              <w:rPr>
                <w:rFonts w:ascii="Arial" w:hAnsi="Arial" w:cs="Arial"/>
                <w:sz w:val="18"/>
                <w:szCs w:val="18"/>
                <w:lang w:val="el-GR"/>
              </w:rPr>
              <w:t xml:space="preserve"> για τις χρήσεις 2017-2021</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286522B9" w14:textId="32C6E0C2"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19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8" w:type="dxa"/>
            <w:tcBorders>
              <w:top w:val="nil"/>
              <w:left w:val="nil"/>
              <w:bottom w:val="nil"/>
              <w:right w:val="nil"/>
            </w:tcBorders>
            <w:shd w:val="clear" w:color="auto" w:fill="FFFFFF" w:themeFill="background1"/>
            <w:vAlign w:val="center"/>
          </w:tcPr>
          <w:p w14:paraId="4AF1CFD3"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39BEA978"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627835EF"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38BA0DC2" w14:textId="042C4DBD"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19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7" w:type="dxa"/>
            <w:tcBorders>
              <w:top w:val="nil"/>
              <w:left w:val="nil"/>
              <w:bottom w:val="nil"/>
              <w:right w:val="nil"/>
            </w:tcBorders>
            <w:shd w:val="clear" w:color="auto" w:fill="FFFFFF" w:themeFill="background1"/>
            <w:vAlign w:val="center"/>
          </w:tcPr>
          <w:p w14:paraId="54AE8F96"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r>
      <w:tr w:rsidR="00D6457A" w:rsidRPr="001925CD" w14:paraId="2910ED40"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43AC322E" w14:textId="1D71DA41" w:rsidR="00D6457A" w:rsidRPr="00D6457A" w:rsidRDefault="00455246" w:rsidP="00D6457A">
            <w:pPr>
              <w:pStyle w:val="ColorfulList-Accent11"/>
              <w:tabs>
                <w:tab w:val="left" w:pos="0"/>
                <w:tab w:val="left" w:pos="284"/>
              </w:tabs>
              <w:ind w:left="0" w:right="-90"/>
              <w:rPr>
                <w:rFonts w:ascii="Arial" w:hAnsi="Arial" w:cs="Arial"/>
                <w:color w:val="000000" w:themeColor="text1"/>
                <w:sz w:val="18"/>
                <w:lang w:val="el-GR"/>
              </w:rPr>
            </w:pPr>
            <w:r>
              <w:rPr>
                <w:rFonts w:ascii="Arial" w:hAnsi="Arial" w:cs="Arial"/>
                <w:sz w:val="18"/>
                <w:szCs w:val="18"/>
                <w:lang w:val="el-GR"/>
              </w:rPr>
              <w:t>Λοιπά έ</w:t>
            </w:r>
            <w:r w:rsidRPr="00A7639D">
              <w:rPr>
                <w:rFonts w:ascii="Arial" w:hAnsi="Arial" w:cs="Arial"/>
                <w:sz w:val="18"/>
                <w:szCs w:val="18"/>
              </w:rPr>
              <w:t>ξοδα αναδιοργάνωσης</w:t>
            </w:r>
            <w:r w:rsidRPr="00537848" w:rsidDel="00455246">
              <w:rPr>
                <w:rFonts w:ascii="Arial" w:hAnsi="Arial" w:cs="Arial"/>
                <w:sz w:val="18"/>
                <w:szCs w:val="18"/>
                <w:lang w:val="el-GR"/>
              </w:rPr>
              <w:t xml:space="preserve"> </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400DE361" w14:textId="7F9E2673"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8" w:type="dxa"/>
            <w:tcBorders>
              <w:top w:val="nil"/>
              <w:left w:val="nil"/>
              <w:bottom w:val="nil"/>
              <w:right w:val="nil"/>
            </w:tcBorders>
            <w:shd w:val="clear" w:color="auto" w:fill="FFFFFF" w:themeFill="background1"/>
            <w:vAlign w:val="center"/>
          </w:tcPr>
          <w:p w14:paraId="6FD8E3D1" w14:textId="4293E3A3"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6EA8B21F" w14:textId="4FC148D0"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58C6505D" w14:textId="0B939C2A"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4B05D86D" w14:textId="3625935E"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17" w:type="dxa"/>
            <w:tcBorders>
              <w:top w:val="nil"/>
              <w:left w:val="nil"/>
              <w:bottom w:val="nil"/>
              <w:right w:val="nil"/>
            </w:tcBorders>
            <w:shd w:val="clear" w:color="auto" w:fill="FFFFFF" w:themeFill="background1"/>
            <w:vAlign w:val="center"/>
          </w:tcPr>
          <w:p w14:paraId="3A4CA2DE" w14:textId="621272DB"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D6457A" w:rsidRPr="001925CD" w14:paraId="5366DD5D" w14:textId="77777777" w:rsidTr="00D6457A">
        <w:trPr>
          <w:trHeight w:val="247"/>
        </w:trPr>
        <w:tc>
          <w:tcPr>
            <w:tcW w:w="3913" w:type="dxa"/>
            <w:tcBorders>
              <w:top w:val="nil"/>
              <w:bottom w:val="nil"/>
              <w:right w:val="single" w:sz="2" w:space="0" w:color="808080" w:themeColor="background1" w:themeShade="80"/>
            </w:tcBorders>
            <w:shd w:val="clear" w:color="auto" w:fill="F2F2F2" w:themeFill="background1" w:themeFillShade="F2"/>
            <w:vAlign w:val="center"/>
          </w:tcPr>
          <w:p w14:paraId="096A787C" w14:textId="022F2EEA"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7" w:type="dxa"/>
            <w:tcBorders>
              <w:top w:val="nil"/>
              <w:left w:val="single" w:sz="2" w:space="0" w:color="808080" w:themeColor="background1" w:themeShade="80"/>
              <w:bottom w:val="nil"/>
              <w:right w:val="nil"/>
            </w:tcBorders>
            <w:shd w:val="clear" w:color="auto" w:fill="F2F2F2" w:themeFill="background1" w:themeFillShade="F2"/>
            <w:vAlign w:val="center"/>
          </w:tcPr>
          <w:p w14:paraId="549CE46B" w14:textId="710AE11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427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18" w:type="dxa"/>
            <w:tcBorders>
              <w:top w:val="nil"/>
              <w:left w:val="nil"/>
              <w:bottom w:val="nil"/>
              <w:right w:val="nil"/>
            </w:tcBorders>
            <w:shd w:val="clear" w:color="auto" w:fill="F2F2F2" w:themeFill="background1" w:themeFillShade="F2"/>
            <w:vAlign w:val="center"/>
          </w:tcPr>
          <w:p w14:paraId="21F3BFA1" w14:textId="7D60E06F"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421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18" w:type="dxa"/>
            <w:tcBorders>
              <w:top w:val="nil"/>
              <w:left w:val="single" w:sz="4" w:space="0" w:color="A6A6A6" w:themeColor="background1" w:themeShade="A6"/>
              <w:bottom w:val="nil"/>
              <w:right w:val="nil"/>
            </w:tcBorders>
            <w:shd w:val="clear" w:color="auto" w:fill="F2F2F2" w:themeFill="background1" w:themeFillShade="F2"/>
            <w:vAlign w:val="center"/>
          </w:tcPr>
          <w:p w14:paraId="1F0B4667" w14:textId="70D3ED33"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402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c>
          <w:tcPr>
            <w:tcW w:w="1119" w:type="dxa"/>
            <w:tcBorders>
              <w:top w:val="nil"/>
              <w:left w:val="nil"/>
              <w:bottom w:val="nil"/>
              <w:right w:val="single" w:sz="4" w:space="0" w:color="A6A6A6" w:themeColor="background1" w:themeShade="A6"/>
            </w:tcBorders>
            <w:shd w:val="clear" w:color="auto" w:fill="F2F2F2" w:themeFill="background1" w:themeFillShade="F2"/>
            <w:vAlign w:val="center"/>
          </w:tcPr>
          <w:p w14:paraId="0E9898C4" w14:textId="5F283A3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382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88" w:type="dxa"/>
            <w:tcBorders>
              <w:top w:val="nil"/>
              <w:left w:val="single" w:sz="4" w:space="0" w:color="A6A6A6" w:themeColor="background1" w:themeShade="A6"/>
              <w:bottom w:val="nil"/>
              <w:right w:val="nil"/>
            </w:tcBorders>
            <w:shd w:val="clear" w:color="auto" w:fill="F2F2F2" w:themeFill="background1" w:themeFillShade="F2"/>
            <w:vAlign w:val="center"/>
          </w:tcPr>
          <w:p w14:paraId="0F29454A" w14:textId="5C9A2416"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25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2</w:t>
            </w:r>
          </w:p>
        </w:tc>
        <w:tc>
          <w:tcPr>
            <w:tcW w:w="1117" w:type="dxa"/>
            <w:tcBorders>
              <w:top w:val="nil"/>
              <w:left w:val="nil"/>
              <w:bottom w:val="nil"/>
              <w:right w:val="nil"/>
            </w:tcBorders>
            <w:shd w:val="clear" w:color="auto" w:fill="F2F2F2" w:themeFill="background1" w:themeFillShade="F2"/>
            <w:vAlign w:val="center"/>
          </w:tcPr>
          <w:p w14:paraId="3D53D032" w14:textId="375E214C"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39</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0</w:t>
            </w:r>
          </w:p>
        </w:tc>
      </w:tr>
      <w:tr w:rsidR="00D6457A" w:rsidRPr="001925CD" w14:paraId="7957EDB4" w14:textId="77777777" w:rsidTr="00D6457A">
        <w:trPr>
          <w:trHeight w:val="495"/>
        </w:trPr>
        <w:tc>
          <w:tcPr>
            <w:tcW w:w="3913" w:type="dxa"/>
            <w:tcBorders>
              <w:top w:val="nil"/>
              <w:bottom w:val="nil"/>
              <w:right w:val="single" w:sz="2" w:space="0" w:color="808080" w:themeColor="background1" w:themeShade="80"/>
            </w:tcBorders>
            <w:shd w:val="clear" w:color="auto" w:fill="FFFFFF" w:themeFill="background1"/>
            <w:vAlign w:val="center"/>
          </w:tcPr>
          <w:p w14:paraId="2C471267" w14:textId="6DD27867" w:rsidR="00D6457A" w:rsidRPr="00D6457A" w:rsidRDefault="00D6457A" w:rsidP="00D6457A">
            <w:pPr>
              <w:pStyle w:val="ColorfulList-Accent11"/>
              <w:tabs>
                <w:tab w:val="left" w:pos="0"/>
                <w:tab w:val="left" w:pos="284"/>
              </w:tabs>
              <w:ind w:left="0" w:right="-90"/>
              <w:rPr>
                <w:rFonts w:ascii="Arial" w:hAnsi="Arial" w:cs="Arial"/>
                <w:i/>
                <w:color w:val="000000" w:themeColor="text1"/>
                <w:sz w:val="18"/>
                <w:lang w:val="el-GR"/>
              </w:rPr>
            </w:pPr>
            <w:r w:rsidRPr="00A7639D">
              <w:rPr>
                <w:rFonts w:ascii="Arial" w:hAnsi="Arial" w:cs="Arial"/>
                <w:sz w:val="18"/>
                <w:szCs w:val="18"/>
                <w:lang w:val="el-GR"/>
              </w:rPr>
              <w:t>Αποσβέσεις περιουσιακών στοιχείων με δικαίωμα χρήσης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3D99B62F" w14:textId="1F50E13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(70</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8" w:type="dxa"/>
            <w:tcBorders>
              <w:top w:val="nil"/>
              <w:left w:val="nil"/>
              <w:bottom w:val="nil"/>
              <w:right w:val="nil"/>
            </w:tcBorders>
            <w:shd w:val="clear" w:color="auto" w:fill="FFFFFF" w:themeFill="background1"/>
            <w:vAlign w:val="center"/>
          </w:tcPr>
          <w:p w14:paraId="4CEF0ED4" w14:textId="2DC372ED"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(69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0A18A81F" w14:textId="6ED92EC2"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(48</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6EF65D37" w14:textId="65BF792F"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(49</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7C62EA68" w14:textId="71255B8A"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(21</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7" w:type="dxa"/>
            <w:tcBorders>
              <w:top w:val="nil"/>
              <w:left w:val="nil"/>
              <w:bottom w:val="nil"/>
              <w:right w:val="nil"/>
            </w:tcBorders>
            <w:shd w:val="clear" w:color="auto" w:fill="FFFFFF" w:themeFill="background1"/>
            <w:vAlign w:val="center"/>
          </w:tcPr>
          <w:p w14:paraId="79C7997B" w14:textId="45E6DB6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(19</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D6457A" w:rsidRPr="001925CD" w14:paraId="769EC762" w14:textId="77777777" w:rsidTr="00D6457A">
        <w:trPr>
          <w:trHeight w:val="256"/>
        </w:trPr>
        <w:tc>
          <w:tcPr>
            <w:tcW w:w="3913" w:type="dxa"/>
            <w:tcBorders>
              <w:top w:val="nil"/>
              <w:bottom w:val="nil"/>
              <w:right w:val="single" w:sz="2" w:space="0" w:color="808080" w:themeColor="background1" w:themeShade="80"/>
            </w:tcBorders>
            <w:shd w:val="clear" w:color="auto" w:fill="FFFFFF" w:themeFill="background1"/>
            <w:vAlign w:val="center"/>
          </w:tcPr>
          <w:p w14:paraId="3D47137E" w14:textId="514136B7" w:rsidR="00D6457A" w:rsidRPr="00D6457A" w:rsidRDefault="00D6457A" w:rsidP="00D6457A">
            <w:pPr>
              <w:pStyle w:val="ColorfulList-Accent11"/>
              <w:tabs>
                <w:tab w:val="left" w:pos="0"/>
                <w:tab w:val="left" w:pos="284"/>
              </w:tabs>
              <w:ind w:left="0" w:right="-90"/>
              <w:rPr>
                <w:rFonts w:ascii="Arial" w:hAnsi="Arial" w:cs="Arial"/>
                <w:i/>
                <w:color w:val="000000" w:themeColor="text1"/>
                <w:sz w:val="18"/>
                <w:lang w:val="el-GR"/>
              </w:rPr>
            </w:pPr>
            <w:r w:rsidRPr="00A7639D">
              <w:rPr>
                <w:rFonts w:ascii="Arial" w:hAnsi="Arial" w:cs="Arial"/>
                <w:sz w:val="18"/>
                <w:szCs w:val="18"/>
                <w:lang w:val="el-GR"/>
              </w:rPr>
              <w:t>Τόκοι επί των υποχρεώσεων από μισθώσεις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6AC3A169" w14:textId="5E43CC39"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(10</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8" w:type="dxa"/>
            <w:tcBorders>
              <w:top w:val="nil"/>
              <w:left w:val="nil"/>
              <w:bottom w:val="nil"/>
              <w:right w:val="nil"/>
            </w:tcBorders>
            <w:shd w:val="clear" w:color="auto" w:fill="FFFFFF" w:themeFill="background1"/>
            <w:vAlign w:val="center"/>
          </w:tcPr>
          <w:p w14:paraId="6E1434C6" w14:textId="6839771E"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(9</w:t>
            </w:r>
            <w:r w:rsidR="00084951">
              <w:rPr>
                <w:rFonts w:ascii="Arial" w:hAnsi="Arial" w:cs="Arial"/>
                <w:color w:val="000000" w:themeColor="text1"/>
                <w:sz w:val="18"/>
                <w:szCs w:val="18"/>
              </w:rPr>
              <w:t>,</w:t>
            </w:r>
            <w:r w:rsidRPr="00832C24">
              <w:rPr>
                <w:rFonts w:ascii="Arial" w:hAnsi="Arial" w:cs="Arial"/>
                <w:color w:val="000000" w:themeColor="text1"/>
                <w:sz w:val="18"/>
                <w:szCs w:val="18"/>
              </w:rPr>
              <w:t>2)</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183984E5" w14:textId="1214821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71AC0D7F" w14:textId="1C8496D9"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708EA5D6" w14:textId="63123655"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7" w:type="dxa"/>
            <w:tcBorders>
              <w:top w:val="nil"/>
              <w:left w:val="nil"/>
              <w:bottom w:val="nil"/>
              <w:right w:val="nil"/>
            </w:tcBorders>
            <w:shd w:val="clear" w:color="auto" w:fill="FFFFFF" w:themeFill="background1"/>
            <w:vAlign w:val="center"/>
          </w:tcPr>
          <w:p w14:paraId="2B7D07BE" w14:textId="48B95C49"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2)</w:t>
            </w:r>
          </w:p>
        </w:tc>
      </w:tr>
      <w:tr w:rsidR="00D6457A" w:rsidRPr="001925CD" w14:paraId="614AD93E" w14:textId="77777777" w:rsidTr="00D6457A">
        <w:trPr>
          <w:trHeight w:val="247"/>
        </w:trPr>
        <w:tc>
          <w:tcPr>
            <w:tcW w:w="3913" w:type="dxa"/>
            <w:tcBorders>
              <w:top w:val="nil"/>
              <w:bottom w:val="nil"/>
              <w:right w:val="single" w:sz="2" w:space="0" w:color="808080" w:themeColor="background1" w:themeShade="80"/>
            </w:tcBorders>
            <w:shd w:val="clear" w:color="auto" w:fill="F2F2F2" w:themeFill="background1" w:themeFillShade="F2"/>
            <w:vAlign w:val="center"/>
          </w:tcPr>
          <w:p w14:paraId="4453DFC1" w14:textId="300FF9DD"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7" w:type="dxa"/>
            <w:tcBorders>
              <w:top w:val="nil"/>
              <w:left w:val="single" w:sz="2" w:space="0" w:color="808080" w:themeColor="background1" w:themeShade="80"/>
              <w:bottom w:val="nil"/>
              <w:right w:val="nil"/>
            </w:tcBorders>
            <w:shd w:val="clear" w:color="auto" w:fill="F2F2F2" w:themeFill="background1" w:themeFillShade="F2"/>
            <w:vAlign w:val="center"/>
          </w:tcPr>
          <w:p w14:paraId="60BBD158" w14:textId="12A0288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347</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3</w:t>
            </w:r>
          </w:p>
        </w:tc>
        <w:tc>
          <w:tcPr>
            <w:tcW w:w="1118" w:type="dxa"/>
            <w:tcBorders>
              <w:top w:val="nil"/>
              <w:left w:val="nil"/>
              <w:bottom w:val="nil"/>
              <w:right w:val="nil"/>
            </w:tcBorders>
            <w:shd w:val="clear" w:color="auto" w:fill="F2F2F2" w:themeFill="background1" w:themeFillShade="F2"/>
            <w:vAlign w:val="center"/>
          </w:tcPr>
          <w:p w14:paraId="205AFBD5" w14:textId="2710455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342</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5</w:t>
            </w:r>
          </w:p>
        </w:tc>
        <w:tc>
          <w:tcPr>
            <w:tcW w:w="1118" w:type="dxa"/>
            <w:tcBorders>
              <w:top w:val="nil"/>
              <w:left w:val="single" w:sz="4" w:space="0" w:color="A6A6A6" w:themeColor="background1" w:themeShade="A6"/>
              <w:bottom w:val="nil"/>
              <w:right w:val="nil"/>
            </w:tcBorders>
            <w:shd w:val="clear" w:color="auto" w:fill="F2F2F2" w:themeFill="background1" w:themeFillShade="F2"/>
            <w:vAlign w:val="center"/>
          </w:tcPr>
          <w:p w14:paraId="5D7BCC34" w14:textId="05814C34"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346</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2</w:t>
            </w:r>
          </w:p>
        </w:tc>
        <w:tc>
          <w:tcPr>
            <w:tcW w:w="1119" w:type="dxa"/>
            <w:tcBorders>
              <w:top w:val="nil"/>
              <w:left w:val="nil"/>
              <w:bottom w:val="nil"/>
              <w:right w:val="single" w:sz="4" w:space="0" w:color="A6A6A6" w:themeColor="background1" w:themeShade="A6"/>
            </w:tcBorders>
            <w:shd w:val="clear" w:color="auto" w:fill="F2F2F2" w:themeFill="background1" w:themeFillShade="F2"/>
            <w:vAlign w:val="center"/>
          </w:tcPr>
          <w:p w14:paraId="7155DF13" w14:textId="7A5F7D1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bCs/>
                <w:color w:val="000000" w:themeColor="text1"/>
                <w:sz w:val="18"/>
                <w:szCs w:val="18"/>
              </w:rPr>
              <w:t>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325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88" w:type="dxa"/>
            <w:tcBorders>
              <w:top w:val="nil"/>
              <w:left w:val="single" w:sz="4" w:space="0" w:color="A6A6A6" w:themeColor="background1" w:themeShade="A6"/>
              <w:bottom w:val="nil"/>
              <w:right w:val="nil"/>
            </w:tcBorders>
            <w:shd w:val="clear" w:color="auto" w:fill="F2F2F2" w:themeFill="background1" w:themeFillShade="F2"/>
            <w:vAlign w:val="center"/>
          </w:tcPr>
          <w:p w14:paraId="065BC33B" w14:textId="5017BC86"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bCs/>
                <w:color w:val="000000" w:themeColor="text1"/>
                <w:sz w:val="18"/>
                <w:szCs w:val="18"/>
              </w:rPr>
              <w:t>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1</w:t>
            </w:r>
          </w:p>
        </w:tc>
        <w:tc>
          <w:tcPr>
            <w:tcW w:w="1117" w:type="dxa"/>
            <w:tcBorders>
              <w:top w:val="nil"/>
              <w:left w:val="nil"/>
              <w:bottom w:val="nil"/>
              <w:right w:val="nil"/>
            </w:tcBorders>
            <w:shd w:val="clear" w:color="auto" w:fill="F2F2F2" w:themeFill="background1" w:themeFillShade="F2"/>
            <w:vAlign w:val="center"/>
          </w:tcPr>
          <w:p w14:paraId="095D747F" w14:textId="085AD52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bCs/>
                <w:color w:val="000000" w:themeColor="text1"/>
                <w:sz w:val="18"/>
                <w:szCs w:val="18"/>
              </w:rPr>
              <w:t>17</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0</w:t>
            </w:r>
          </w:p>
        </w:tc>
      </w:tr>
      <w:tr w:rsidR="00D6457A" w:rsidRPr="001925CD" w14:paraId="62D0FB3C" w14:textId="77777777" w:rsidTr="00D6457A">
        <w:trPr>
          <w:trHeight w:val="247"/>
        </w:trPr>
        <w:tc>
          <w:tcPr>
            <w:tcW w:w="3913"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7D06B4" w14:textId="1C3C1311" w:rsidR="00D6457A" w:rsidRPr="00832C24" w:rsidRDefault="00D6457A" w:rsidP="00D6457A">
            <w:pPr>
              <w:pStyle w:val="ColorfulList-Accent11"/>
              <w:tabs>
                <w:tab w:val="left" w:pos="0"/>
                <w:tab w:val="left" w:pos="284"/>
              </w:tabs>
              <w:ind w:left="0" w:right="-90"/>
              <w:jc w:val="right"/>
              <w:rPr>
                <w:rFonts w:ascii="Arial" w:hAnsi="Arial" w:cs="Arial"/>
                <w:i/>
                <w:color w:val="000000" w:themeColor="text1"/>
                <w:sz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A76DF70" w14:textId="3B47256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i/>
                <w:color w:val="000000" w:themeColor="text1"/>
                <w:sz w:val="18"/>
                <w:szCs w:val="18"/>
              </w:rPr>
              <w:t>37</w:t>
            </w:r>
            <w:r w:rsidR="00084951">
              <w:rPr>
                <w:rFonts w:ascii="Arial" w:hAnsi="Arial" w:cs="Arial"/>
                <w:b/>
                <w:i/>
                <w:color w:val="000000" w:themeColor="text1"/>
                <w:sz w:val="18"/>
                <w:szCs w:val="18"/>
              </w:rPr>
              <w:t>,</w:t>
            </w:r>
            <w:r w:rsidRPr="00832C24">
              <w:rPr>
                <w:rFonts w:ascii="Arial" w:hAnsi="Arial" w:cs="Arial"/>
                <w:b/>
                <w:bCs/>
                <w:i/>
                <w:iCs/>
                <w:color w:val="000000" w:themeColor="text1"/>
                <w:sz w:val="18"/>
                <w:szCs w:val="18"/>
              </w:rPr>
              <w:t>5</w:t>
            </w:r>
            <w:r w:rsidRPr="00832C24">
              <w:rPr>
                <w:rFonts w:ascii="Arial" w:hAnsi="Arial" w:cs="Arial"/>
                <w:b/>
                <w:i/>
                <w:color w:val="000000" w:themeColor="text1"/>
                <w:sz w:val="18"/>
                <w:szCs w:val="18"/>
              </w:rPr>
              <w:t>%</w:t>
            </w:r>
          </w:p>
        </w:tc>
        <w:tc>
          <w:tcPr>
            <w:tcW w:w="1118" w:type="dxa"/>
            <w:tcBorders>
              <w:top w:val="nil"/>
              <w:left w:val="nil"/>
              <w:bottom w:val="single" w:sz="2" w:space="0" w:color="808080" w:themeColor="background1" w:themeShade="80"/>
              <w:right w:val="nil"/>
            </w:tcBorders>
            <w:shd w:val="clear" w:color="auto" w:fill="F2F2F2" w:themeFill="background1" w:themeFillShade="F2"/>
            <w:vAlign w:val="center"/>
          </w:tcPr>
          <w:p w14:paraId="4D66A06E" w14:textId="658E164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bCs/>
                <w:i/>
                <w:iCs/>
                <w:color w:val="000000" w:themeColor="text1"/>
                <w:sz w:val="18"/>
                <w:szCs w:val="18"/>
              </w:rPr>
              <w:t>38</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7%</w:t>
            </w:r>
          </w:p>
        </w:tc>
        <w:tc>
          <w:tcPr>
            <w:tcW w:w="1118"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75258682" w14:textId="70F3A72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i/>
                <w:color w:val="000000" w:themeColor="text1"/>
                <w:sz w:val="18"/>
                <w:szCs w:val="18"/>
              </w:rPr>
              <w:t>40</w:t>
            </w:r>
            <w:r w:rsidR="00084951">
              <w:rPr>
                <w:rFonts w:ascii="Arial" w:hAnsi="Arial" w:cs="Arial"/>
                <w:b/>
                <w:i/>
                <w:color w:val="000000" w:themeColor="text1"/>
                <w:sz w:val="18"/>
                <w:szCs w:val="18"/>
              </w:rPr>
              <w:t>,</w:t>
            </w:r>
            <w:r w:rsidRPr="00832C24">
              <w:rPr>
                <w:rFonts w:ascii="Arial" w:hAnsi="Arial" w:cs="Arial"/>
                <w:b/>
                <w:bCs/>
                <w:i/>
                <w:iCs/>
                <w:color w:val="000000" w:themeColor="text1"/>
                <w:sz w:val="18"/>
                <w:szCs w:val="18"/>
              </w:rPr>
              <w:t>4</w:t>
            </w:r>
            <w:r w:rsidRPr="00832C24">
              <w:rPr>
                <w:rFonts w:ascii="Arial" w:hAnsi="Arial" w:cs="Arial"/>
                <w:b/>
                <w:i/>
                <w:color w:val="000000" w:themeColor="text1"/>
                <w:sz w:val="18"/>
                <w:szCs w:val="18"/>
              </w:rPr>
              <w:t>%</w:t>
            </w:r>
          </w:p>
        </w:tc>
        <w:tc>
          <w:tcPr>
            <w:tcW w:w="1119"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3BA60E4E" w14:textId="78EFFDC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bCs/>
                <w:i/>
                <w:iCs/>
                <w:color w:val="000000" w:themeColor="text1"/>
                <w:sz w:val="18"/>
                <w:szCs w:val="18"/>
              </w:rPr>
              <w:t>41</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6%</w:t>
            </w:r>
          </w:p>
        </w:tc>
        <w:tc>
          <w:tcPr>
            <w:tcW w:w="1188"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6C7FA185" w14:textId="3D834141"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i/>
                <w:color w:val="000000" w:themeColor="text1"/>
                <w:sz w:val="18"/>
                <w:szCs w:val="18"/>
              </w:rPr>
              <w:t>0</w:t>
            </w:r>
            <w:r w:rsidR="00084951">
              <w:rPr>
                <w:rFonts w:ascii="Arial" w:hAnsi="Arial" w:cs="Arial"/>
                <w:b/>
                <w:i/>
                <w:color w:val="000000" w:themeColor="text1"/>
                <w:sz w:val="18"/>
                <w:szCs w:val="18"/>
              </w:rPr>
              <w:t>,</w:t>
            </w:r>
            <w:r w:rsidRPr="00832C24">
              <w:rPr>
                <w:rFonts w:ascii="Arial" w:hAnsi="Arial" w:cs="Arial"/>
                <w:b/>
                <w:bCs/>
                <w:i/>
                <w:iCs/>
                <w:color w:val="000000" w:themeColor="text1"/>
                <w:sz w:val="18"/>
                <w:szCs w:val="18"/>
              </w:rPr>
              <w:t>4</w:t>
            </w:r>
            <w:r w:rsidRPr="00832C24">
              <w:rPr>
                <w:rFonts w:ascii="Arial" w:hAnsi="Arial" w:cs="Arial"/>
                <w:b/>
                <w:i/>
                <w:color w:val="000000" w:themeColor="text1"/>
                <w:sz w:val="18"/>
                <w:szCs w:val="18"/>
              </w:rPr>
              <w:t>%</w:t>
            </w:r>
          </w:p>
        </w:tc>
        <w:tc>
          <w:tcPr>
            <w:tcW w:w="1117" w:type="dxa"/>
            <w:tcBorders>
              <w:top w:val="nil"/>
              <w:left w:val="nil"/>
              <w:bottom w:val="single" w:sz="2" w:space="0" w:color="808080" w:themeColor="background1" w:themeShade="80"/>
              <w:right w:val="nil"/>
            </w:tcBorders>
            <w:shd w:val="clear" w:color="auto" w:fill="F2F2F2" w:themeFill="background1" w:themeFillShade="F2"/>
            <w:vAlign w:val="center"/>
          </w:tcPr>
          <w:p w14:paraId="77646DB0" w14:textId="00ED1F1E"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bCs/>
                <w:i/>
                <w:iCs/>
                <w:color w:val="000000" w:themeColor="text1"/>
                <w:sz w:val="18"/>
                <w:szCs w:val="18"/>
              </w:rPr>
              <w:t>5</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9</w:t>
            </w:r>
            <w:r w:rsidRPr="00832C24">
              <w:rPr>
                <w:rFonts w:ascii="Arial" w:hAnsi="Arial" w:cs="Arial"/>
                <w:b/>
                <w:i/>
                <w:color w:val="000000" w:themeColor="text1"/>
                <w:sz w:val="18"/>
                <w:szCs w:val="18"/>
              </w:rPr>
              <w:t>%</w:t>
            </w:r>
          </w:p>
        </w:tc>
      </w:tr>
    </w:tbl>
    <w:p w14:paraId="5BB5F9BE" w14:textId="77777777" w:rsidR="00E026B6" w:rsidRDefault="00E026B6" w:rsidP="00E026B6">
      <w:pPr>
        <w:spacing w:after="0" w:line="240" w:lineRule="auto"/>
        <w:jc w:val="both"/>
        <w:rPr>
          <w:rFonts w:ascii="Arial" w:eastAsia="Times New Roman" w:hAnsi="Arial" w:cs="Arial"/>
          <w:b/>
          <w:color w:val="004B87"/>
          <w:lang w:val="en-US"/>
        </w:rPr>
      </w:pPr>
      <w:bookmarkStart w:id="13" w:name="_Hlk125459013"/>
    </w:p>
    <w:p w14:paraId="5E0386D4" w14:textId="5DE600B5" w:rsidR="00CE2C0F" w:rsidRPr="00E026B6" w:rsidRDefault="009E285A" w:rsidP="00E026B6">
      <w:pPr>
        <w:spacing w:after="0" w:line="240" w:lineRule="auto"/>
        <w:jc w:val="both"/>
        <w:rPr>
          <w:rFonts w:ascii="Arial" w:eastAsia="Times New Roman" w:hAnsi="Arial" w:cs="Arial"/>
          <w:b/>
          <w:color w:val="004B87"/>
        </w:rPr>
      </w:pPr>
      <w:r w:rsidRPr="00E026B6">
        <w:rPr>
          <w:rFonts w:ascii="Arial" w:eastAsia="Times New Roman" w:hAnsi="Arial" w:cs="Arial"/>
          <w:b/>
          <w:color w:val="004B87"/>
        </w:rPr>
        <w:t>Επενδύσεις</w:t>
      </w:r>
      <w:r w:rsidR="004E1B69" w:rsidRPr="00E026B6">
        <w:rPr>
          <w:rFonts w:ascii="Arial" w:eastAsia="Times New Roman" w:hAnsi="Arial" w:cs="Arial"/>
          <w:b/>
          <w:color w:val="004B87"/>
        </w:rPr>
        <w:t xml:space="preserve"> (και </w:t>
      </w:r>
      <w:r w:rsidR="00AE07D0" w:rsidRPr="00E026B6">
        <w:rPr>
          <w:rFonts w:ascii="Arial" w:eastAsia="Times New Roman" w:hAnsi="Arial" w:cs="Arial"/>
          <w:b/>
          <w:color w:val="004B87"/>
        </w:rPr>
        <w:t>προσαρμοσμένες</w:t>
      </w:r>
      <w:r w:rsidR="004E1B69" w:rsidRPr="00E026B6">
        <w:rPr>
          <w:rFonts w:ascii="Arial" w:eastAsia="Times New Roman" w:hAnsi="Arial" w:cs="Arial"/>
          <w:b/>
          <w:color w:val="004B87"/>
        </w:rPr>
        <w:t xml:space="preserve"> επενδύσεις)</w:t>
      </w:r>
      <w:r w:rsidRPr="00E026B6">
        <w:rPr>
          <w:rFonts w:ascii="Arial" w:eastAsia="Times New Roman" w:hAnsi="Arial" w:cs="Arial"/>
          <w:b/>
          <w:color w:val="004B87"/>
        </w:rPr>
        <w:t xml:space="preserve"> σε πάγια περιουσιακά στοιχεία </w:t>
      </w:r>
      <w:r w:rsidR="00CE2C0F" w:rsidRPr="00E026B6">
        <w:rPr>
          <w:rFonts w:ascii="Arial" w:eastAsia="Times New Roman" w:hAnsi="Arial" w:cs="Arial"/>
          <w:b/>
          <w:color w:val="004B87"/>
        </w:rPr>
        <w:t>- Προσαρμοσμένες Ελεύθερες Ταμειακές Ροές μετά από μισθώσεις (</w:t>
      </w:r>
      <w:r w:rsidR="00CE2C0F" w:rsidRPr="00E026B6">
        <w:rPr>
          <w:rFonts w:ascii="Arial" w:eastAsia="Times New Roman" w:hAnsi="Arial" w:cs="Arial"/>
          <w:b/>
          <w:color w:val="004B87"/>
          <w:lang w:val="en-US"/>
        </w:rPr>
        <w:t>AL</w:t>
      </w:r>
      <w:r w:rsidR="00CE2C0F" w:rsidRPr="00E026B6">
        <w:rPr>
          <w:rFonts w:ascii="Arial" w:eastAsia="Times New Roman" w:hAnsi="Arial" w:cs="Arial"/>
          <w:b/>
          <w:color w:val="004B87"/>
        </w:rPr>
        <w:t xml:space="preserve">) </w:t>
      </w:r>
    </w:p>
    <w:p w14:paraId="5F993AEA" w14:textId="26FF7764" w:rsidR="005C0E70" w:rsidRPr="001D7A36" w:rsidRDefault="009E285A" w:rsidP="00E026B6">
      <w:pPr>
        <w:spacing w:line="280" w:lineRule="exact"/>
        <w:jc w:val="both"/>
        <w:rPr>
          <w:rFonts w:ascii="Arial" w:eastAsia="Times New Roman" w:hAnsi="Arial" w:cs="Arial"/>
        </w:rPr>
      </w:pPr>
      <w:r w:rsidRPr="001D7A36">
        <w:rPr>
          <w:rFonts w:ascii="Arial" w:eastAsia="Times New Roman" w:hAnsi="Arial" w:cs="Arial"/>
        </w:rPr>
        <w:t>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tbl>
      <w:tblPr>
        <w:tblStyle w:val="TableGrid"/>
        <w:tblW w:w="10477"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78"/>
        <w:gridCol w:w="1358"/>
        <w:gridCol w:w="1319"/>
        <w:gridCol w:w="1411"/>
        <w:gridCol w:w="1411"/>
      </w:tblGrid>
      <w:tr w:rsidR="002306CF" w:rsidRPr="004A62BF" w14:paraId="670C37DF" w14:textId="77777777" w:rsidTr="002306CF">
        <w:trPr>
          <w:trHeight w:val="536"/>
        </w:trPr>
        <w:tc>
          <w:tcPr>
            <w:tcW w:w="497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5227B7" w14:textId="722E1F3A" w:rsidR="002306CF" w:rsidRPr="004A62BF" w:rsidRDefault="002306CF" w:rsidP="002306CF">
            <w:pPr>
              <w:pStyle w:val="ColorfulList-Accent11"/>
              <w:tabs>
                <w:tab w:val="left" w:pos="0"/>
                <w:tab w:val="left" w:pos="284"/>
              </w:tabs>
              <w:ind w:left="0" w:right="-90"/>
              <w:rPr>
                <w:rFonts w:ascii="Arial" w:hAnsi="Arial" w:cs="Arial"/>
                <w:b/>
                <w:color w:val="000000" w:themeColor="text1"/>
                <w:sz w:val="18"/>
              </w:rPr>
            </w:pPr>
            <w:r w:rsidRPr="00A7639D">
              <w:rPr>
                <w:rFonts w:ascii="Arial" w:hAnsi="Arial" w:cs="Arial"/>
                <w:b/>
                <w:sz w:val="18"/>
                <w:szCs w:val="18"/>
              </w:rPr>
              <w:t>Όμιλος -(Ευρώ εκατ.)</w:t>
            </w:r>
          </w:p>
        </w:tc>
        <w:tc>
          <w:tcPr>
            <w:tcW w:w="135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56FD45C" w14:textId="7777777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color w:val="000000" w:themeColor="text1"/>
                <w:sz w:val="18"/>
              </w:rPr>
              <w:t>Q4'24</w:t>
            </w:r>
          </w:p>
        </w:tc>
        <w:tc>
          <w:tcPr>
            <w:tcW w:w="131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32B1AD" w14:textId="7777777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color w:val="000000" w:themeColor="text1"/>
                <w:sz w:val="18"/>
              </w:rPr>
              <w:t>Q4'23</w:t>
            </w:r>
          </w:p>
        </w:tc>
        <w:tc>
          <w:tcPr>
            <w:tcW w:w="141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59D7152F" w14:textId="77777777"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rPr>
            </w:pPr>
            <w:r w:rsidRPr="004A62BF">
              <w:rPr>
                <w:rFonts w:ascii="Arial" w:hAnsi="Arial" w:cs="Arial"/>
                <w:b/>
                <w:color w:val="000000" w:themeColor="text1"/>
                <w:sz w:val="18"/>
              </w:rPr>
              <w:t>12M'24</w:t>
            </w:r>
          </w:p>
        </w:tc>
        <w:tc>
          <w:tcPr>
            <w:tcW w:w="1411" w:type="dxa"/>
            <w:tcBorders>
              <w:top w:val="single" w:sz="2" w:space="0" w:color="808080" w:themeColor="background1" w:themeShade="80"/>
              <w:bottom w:val="single" w:sz="2" w:space="0" w:color="808080" w:themeColor="background1" w:themeShade="80"/>
            </w:tcBorders>
            <w:vAlign w:val="center"/>
          </w:tcPr>
          <w:p w14:paraId="2B549606" w14:textId="77777777"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rPr>
            </w:pPr>
            <w:r w:rsidRPr="004A62BF">
              <w:rPr>
                <w:rFonts w:ascii="Arial" w:hAnsi="Arial" w:cs="Arial"/>
                <w:b/>
                <w:color w:val="000000" w:themeColor="text1"/>
                <w:sz w:val="18"/>
              </w:rPr>
              <w:t>12M'23</w:t>
            </w:r>
          </w:p>
        </w:tc>
      </w:tr>
      <w:tr w:rsidR="002306CF" w:rsidRPr="004A62BF" w14:paraId="765C9A11" w14:textId="77777777" w:rsidTr="002306CF">
        <w:trPr>
          <w:trHeight w:val="227"/>
        </w:trPr>
        <w:tc>
          <w:tcPr>
            <w:tcW w:w="4978" w:type="dxa"/>
            <w:tcBorders>
              <w:top w:val="single" w:sz="2" w:space="0" w:color="808080" w:themeColor="background1" w:themeShade="80"/>
              <w:right w:val="single" w:sz="2" w:space="0" w:color="808080" w:themeColor="background1" w:themeShade="80"/>
            </w:tcBorders>
            <w:vAlign w:val="center"/>
          </w:tcPr>
          <w:p w14:paraId="512DD260" w14:textId="6E70D8FF" w:rsidR="002306CF" w:rsidRPr="002306CF" w:rsidRDefault="002306CF" w:rsidP="002306CF">
            <w:pPr>
              <w:pStyle w:val="ColorfulList-Accent11"/>
              <w:tabs>
                <w:tab w:val="left" w:pos="0"/>
                <w:tab w:val="left" w:pos="284"/>
              </w:tabs>
              <w:ind w:left="0" w:right="-90"/>
              <w:jc w:val="both"/>
              <w:rPr>
                <w:rFonts w:ascii="Arial" w:hAnsi="Arial" w:cs="Arial"/>
                <w:color w:val="000000" w:themeColor="text1"/>
                <w:sz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358" w:type="dxa"/>
            <w:tcBorders>
              <w:top w:val="single" w:sz="2" w:space="0" w:color="808080" w:themeColor="background1" w:themeShade="80"/>
              <w:left w:val="single" w:sz="2" w:space="0" w:color="808080" w:themeColor="background1" w:themeShade="80"/>
            </w:tcBorders>
            <w:vAlign w:val="center"/>
          </w:tcPr>
          <w:p w14:paraId="546804C4" w14:textId="65CE987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color w:val="000000" w:themeColor="text1"/>
                <w:sz w:val="18"/>
                <w:szCs w:val="18"/>
              </w:rPr>
              <w:t>(166</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7)</w:t>
            </w:r>
          </w:p>
        </w:tc>
        <w:tc>
          <w:tcPr>
            <w:tcW w:w="1319" w:type="dxa"/>
            <w:tcBorders>
              <w:top w:val="single" w:sz="2" w:space="0" w:color="808080" w:themeColor="background1" w:themeShade="80"/>
              <w:right w:val="single" w:sz="2" w:space="0" w:color="808080" w:themeColor="background1" w:themeShade="80"/>
            </w:tcBorders>
            <w:vAlign w:val="center"/>
          </w:tcPr>
          <w:p w14:paraId="358BA912" w14:textId="624A2BEA"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color w:val="000000" w:themeColor="text1"/>
                <w:sz w:val="18"/>
                <w:szCs w:val="18"/>
              </w:rPr>
              <w:t>(191</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5)</w:t>
            </w:r>
          </w:p>
        </w:tc>
        <w:tc>
          <w:tcPr>
            <w:tcW w:w="1411" w:type="dxa"/>
            <w:tcBorders>
              <w:top w:val="single" w:sz="2" w:space="0" w:color="808080" w:themeColor="background1" w:themeShade="80"/>
              <w:left w:val="single" w:sz="2" w:space="0" w:color="808080" w:themeColor="background1" w:themeShade="80"/>
            </w:tcBorders>
            <w:vAlign w:val="center"/>
          </w:tcPr>
          <w:p w14:paraId="49E1F786" w14:textId="1B68DA3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(599</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7)</w:t>
            </w:r>
          </w:p>
        </w:tc>
        <w:tc>
          <w:tcPr>
            <w:tcW w:w="1411" w:type="dxa"/>
            <w:tcBorders>
              <w:top w:val="single" w:sz="2" w:space="0" w:color="808080" w:themeColor="background1" w:themeShade="80"/>
            </w:tcBorders>
            <w:vAlign w:val="center"/>
          </w:tcPr>
          <w:p w14:paraId="7CE19D4D" w14:textId="214696DE"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(621</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4)</w:t>
            </w:r>
          </w:p>
        </w:tc>
      </w:tr>
      <w:tr w:rsidR="002306CF" w:rsidRPr="004A62BF" w14:paraId="2BDBFF69" w14:textId="77777777" w:rsidTr="002306CF">
        <w:trPr>
          <w:trHeight w:val="227"/>
        </w:trPr>
        <w:tc>
          <w:tcPr>
            <w:tcW w:w="4978" w:type="dxa"/>
            <w:tcBorders>
              <w:right w:val="single" w:sz="2" w:space="0" w:color="808080" w:themeColor="background1" w:themeShade="80"/>
            </w:tcBorders>
            <w:vAlign w:val="center"/>
          </w:tcPr>
          <w:p w14:paraId="52AB75A7" w14:textId="7A41A23F" w:rsidR="002306CF" w:rsidRPr="004A62BF" w:rsidRDefault="002306CF" w:rsidP="002306CF">
            <w:pPr>
              <w:pStyle w:val="ColorfulList-Accent11"/>
              <w:tabs>
                <w:tab w:val="left" w:pos="0"/>
                <w:tab w:val="left" w:pos="284"/>
              </w:tabs>
              <w:ind w:left="0" w:right="-90"/>
              <w:jc w:val="both"/>
              <w:rPr>
                <w:rFonts w:ascii="Arial" w:hAnsi="Arial" w:cs="Arial"/>
                <w:color w:val="000000" w:themeColor="text1"/>
                <w:sz w:val="18"/>
              </w:rPr>
            </w:pPr>
            <w:r w:rsidRPr="00A7639D">
              <w:rPr>
                <w:rFonts w:ascii="Arial" w:hAnsi="Arial" w:cs="Arial"/>
                <w:sz w:val="18"/>
                <w:szCs w:val="18"/>
              </w:rPr>
              <w:t>Καταβολές για αγορά φάσματος</w:t>
            </w:r>
          </w:p>
        </w:tc>
        <w:tc>
          <w:tcPr>
            <w:tcW w:w="1358" w:type="dxa"/>
            <w:tcBorders>
              <w:left w:val="single" w:sz="2" w:space="0" w:color="808080" w:themeColor="background1" w:themeShade="80"/>
            </w:tcBorders>
            <w:vAlign w:val="center"/>
          </w:tcPr>
          <w:p w14:paraId="6E104217"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c>
          <w:tcPr>
            <w:tcW w:w="1319" w:type="dxa"/>
            <w:tcBorders>
              <w:right w:val="single" w:sz="2" w:space="0" w:color="808080" w:themeColor="background1" w:themeShade="80"/>
            </w:tcBorders>
            <w:vAlign w:val="center"/>
          </w:tcPr>
          <w:p w14:paraId="00C45FE6"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c>
          <w:tcPr>
            <w:tcW w:w="1411" w:type="dxa"/>
            <w:tcBorders>
              <w:left w:val="single" w:sz="2" w:space="0" w:color="808080" w:themeColor="background1" w:themeShade="80"/>
            </w:tcBorders>
            <w:vAlign w:val="center"/>
          </w:tcPr>
          <w:p w14:paraId="089FB1A1"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c>
          <w:tcPr>
            <w:tcW w:w="1411" w:type="dxa"/>
            <w:vAlign w:val="center"/>
          </w:tcPr>
          <w:p w14:paraId="716E345E"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r>
      <w:tr w:rsidR="002306CF" w:rsidRPr="004A62BF" w14:paraId="590BA9D2" w14:textId="77777777" w:rsidTr="002306CF">
        <w:trPr>
          <w:trHeight w:val="227"/>
        </w:trPr>
        <w:tc>
          <w:tcPr>
            <w:tcW w:w="4978" w:type="dxa"/>
            <w:tcBorders>
              <w:right w:val="single" w:sz="2" w:space="0" w:color="808080" w:themeColor="background1" w:themeShade="80"/>
            </w:tcBorders>
            <w:shd w:val="clear" w:color="auto" w:fill="F2F2F2" w:themeFill="background1" w:themeFillShade="F2"/>
            <w:vAlign w:val="center"/>
          </w:tcPr>
          <w:p w14:paraId="1BE280F8" w14:textId="42FA5594" w:rsidR="002306CF" w:rsidRPr="002306CF" w:rsidRDefault="002306CF" w:rsidP="002306CF">
            <w:pPr>
              <w:pStyle w:val="ColorfulList-Accent11"/>
              <w:tabs>
                <w:tab w:val="left" w:pos="0"/>
                <w:tab w:val="left" w:pos="284"/>
              </w:tabs>
              <w:ind w:left="0" w:right="-90"/>
              <w:jc w:val="both"/>
              <w:rPr>
                <w:rFonts w:ascii="Arial" w:hAnsi="Arial" w:cs="Arial"/>
                <w:b/>
                <w:color w:val="000000" w:themeColor="text1"/>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35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1BCAF7" w14:textId="7097DF32"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bCs/>
                <w:color w:val="000000" w:themeColor="text1"/>
                <w:sz w:val="18"/>
                <w:szCs w:val="18"/>
              </w:rPr>
              <w:t>(166</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7)</w:t>
            </w:r>
          </w:p>
        </w:tc>
        <w:tc>
          <w:tcPr>
            <w:tcW w:w="1319"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633E1" w14:textId="0723C22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bCs/>
                <w:color w:val="000000" w:themeColor="text1"/>
                <w:sz w:val="18"/>
                <w:szCs w:val="18"/>
              </w:rPr>
              <w:t>(191</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5)</w:t>
            </w:r>
          </w:p>
        </w:tc>
        <w:tc>
          <w:tcPr>
            <w:tcW w:w="1411" w:type="dxa"/>
            <w:tcBorders>
              <w:left w:val="single" w:sz="2" w:space="0" w:color="808080" w:themeColor="background1" w:themeShade="80"/>
            </w:tcBorders>
            <w:shd w:val="clear" w:color="auto" w:fill="F2F2F2" w:themeFill="background1" w:themeFillShade="F2"/>
            <w:vAlign w:val="center"/>
          </w:tcPr>
          <w:p w14:paraId="5D4129E2" w14:textId="52613483"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szCs w:val="18"/>
              </w:rPr>
            </w:pPr>
            <w:r w:rsidRPr="004A62BF">
              <w:rPr>
                <w:rFonts w:ascii="Arial" w:hAnsi="Arial" w:cs="Arial"/>
                <w:b/>
                <w:bCs/>
                <w:color w:val="000000" w:themeColor="text1"/>
                <w:sz w:val="18"/>
                <w:szCs w:val="18"/>
              </w:rPr>
              <w:t>(599</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7)</w:t>
            </w:r>
          </w:p>
        </w:tc>
        <w:tc>
          <w:tcPr>
            <w:tcW w:w="1411" w:type="dxa"/>
            <w:shd w:val="clear" w:color="auto" w:fill="F2F2F2" w:themeFill="background1" w:themeFillShade="F2"/>
            <w:vAlign w:val="center"/>
          </w:tcPr>
          <w:p w14:paraId="27F0B991" w14:textId="78DA8BF6"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szCs w:val="18"/>
              </w:rPr>
            </w:pPr>
            <w:r w:rsidRPr="004A62BF">
              <w:rPr>
                <w:rFonts w:ascii="Arial" w:hAnsi="Arial" w:cs="Arial"/>
                <w:b/>
                <w:bCs/>
                <w:color w:val="000000" w:themeColor="text1"/>
                <w:sz w:val="18"/>
                <w:szCs w:val="18"/>
              </w:rPr>
              <w:t>(621</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4)</w:t>
            </w:r>
          </w:p>
        </w:tc>
      </w:tr>
    </w:tbl>
    <w:p w14:paraId="0C2E27BB" w14:textId="77777777" w:rsidR="002306CF" w:rsidRDefault="002306CF" w:rsidP="0022549B">
      <w:pPr>
        <w:spacing w:after="0" w:line="240" w:lineRule="auto"/>
        <w:jc w:val="both"/>
        <w:rPr>
          <w:rFonts w:ascii="Arial" w:hAnsi="Arial" w:cs="Arial"/>
        </w:rPr>
      </w:pPr>
    </w:p>
    <w:p w14:paraId="4900AE89" w14:textId="77777777" w:rsidR="005B6F70" w:rsidRDefault="005B6F70" w:rsidP="0022549B">
      <w:pPr>
        <w:spacing w:after="0" w:line="240" w:lineRule="auto"/>
        <w:jc w:val="both"/>
        <w:rPr>
          <w:rFonts w:ascii="Arial" w:eastAsia="Times New Roman" w:hAnsi="Arial" w:cs="Arial"/>
          <w:b/>
          <w:color w:val="004B87"/>
        </w:rPr>
      </w:pPr>
      <w:bookmarkStart w:id="14" w:name="_Hlk125463950"/>
      <w:bookmarkEnd w:id="13"/>
    </w:p>
    <w:p w14:paraId="4D7A45A9" w14:textId="73A98282" w:rsidR="00F6576C" w:rsidRPr="004E1B69"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lastRenderedPageBreak/>
        <w:t xml:space="preserve">Ελεύθερες Ταμειακές Ροές- </w:t>
      </w:r>
      <w:r w:rsidR="00E763EC">
        <w:rPr>
          <w:rFonts w:ascii="Arial" w:eastAsia="Times New Roman" w:hAnsi="Arial" w:cs="Arial"/>
          <w:b/>
          <w:color w:val="004B87"/>
        </w:rPr>
        <w:t xml:space="preserve">Προσαρμοσμένες </w:t>
      </w:r>
      <w:r w:rsidRPr="004E1B69">
        <w:rPr>
          <w:rFonts w:ascii="Arial" w:eastAsia="Times New Roman" w:hAnsi="Arial" w:cs="Arial"/>
          <w:b/>
          <w:color w:val="004B87"/>
        </w:rPr>
        <w:t>Ελεύθερες Ταμειακές Ροές μετά από μισθώσεις (</w:t>
      </w:r>
      <w:r w:rsidRPr="0022549B">
        <w:rPr>
          <w:rFonts w:ascii="Arial" w:eastAsia="Times New Roman" w:hAnsi="Arial" w:cs="Arial"/>
          <w:b/>
          <w:color w:val="004B87"/>
          <w:lang w:val="en-US"/>
        </w:rPr>
        <w:t>AL</w:t>
      </w:r>
      <w:r w:rsidR="00411674">
        <w:rPr>
          <w:rFonts w:ascii="Arial" w:eastAsia="Times New Roman" w:hAnsi="Arial" w:cs="Arial"/>
          <w:b/>
          <w:color w:val="004B87"/>
        </w:rPr>
        <w:t>)</w:t>
      </w:r>
    </w:p>
    <w:p w14:paraId="1EC997A6" w14:textId="1F8B2B5A" w:rsidR="009E285A" w:rsidRPr="001D7A36" w:rsidRDefault="009E285A" w:rsidP="00E026B6">
      <w:pPr>
        <w:pStyle w:val="ListParagraph"/>
        <w:numPr>
          <w:ilvl w:val="0"/>
          <w:numId w:val="49"/>
        </w:numPr>
        <w:spacing w:after="160" w:line="280" w:lineRule="exact"/>
        <w:ind w:left="340" w:hanging="340"/>
        <w:jc w:val="both"/>
        <w:rPr>
          <w:rFonts w:ascii="Arial" w:hAnsi="Arial" w:cs="Arial"/>
          <w:sz w:val="22"/>
          <w:szCs w:val="22"/>
          <w:lang w:val="el-GR"/>
        </w:rPr>
      </w:pPr>
      <w:r w:rsidRPr="00E026B6">
        <w:rPr>
          <w:rFonts w:ascii="Arial" w:hAnsi="Arial" w:cs="Arial"/>
          <w:sz w:val="22"/>
          <w:szCs w:val="22"/>
        </w:rPr>
        <w:t>O</w:t>
      </w:r>
      <w:r w:rsidRPr="001D7A36">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AEA868A" w14:textId="77777777" w:rsidR="00D4284C" w:rsidRPr="001D7A36" w:rsidRDefault="00F31EE9" w:rsidP="00E026B6">
      <w:pPr>
        <w:pStyle w:val="ListParagraph"/>
        <w:numPr>
          <w:ilvl w:val="0"/>
          <w:numId w:val="49"/>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Οι Προσαρμοσμένες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00D4284C" w:rsidRPr="001D7A36">
        <w:rPr>
          <w:rFonts w:ascii="Arial" w:hAnsi="Arial" w:cs="Arial"/>
          <w:sz w:val="22"/>
          <w:szCs w:val="22"/>
          <w:lang w:val="el-GR"/>
        </w:rPr>
        <w:t>Υπολογίζονται εξαιρώντας από τις Ελεύθερες Ταμειακές Ροές μετά από μισθώσεις (</w:t>
      </w:r>
      <w:r w:rsidR="00D4284C" w:rsidRPr="00E026B6">
        <w:rPr>
          <w:rFonts w:ascii="Arial" w:hAnsi="Arial" w:cs="Arial"/>
          <w:sz w:val="22"/>
          <w:szCs w:val="22"/>
        </w:rPr>
        <w:t>AL</w:t>
      </w:r>
      <w:r w:rsidR="00D4284C" w:rsidRPr="001D7A36">
        <w:rPr>
          <w:rFonts w:ascii="Arial" w:hAnsi="Arial" w:cs="Arial"/>
          <w:sz w:val="22"/>
          <w:szCs w:val="22"/>
          <w:lang w:val="el-GR"/>
        </w:rPr>
        <w:t>) τις καταβολές προγραμμάτων εθελούσιας αποχώρησης, τις καταβολές που σχετίζονται με τον φορολογικό έλεγχο της Ρουμανίας για τις χρήσεις 2017-2021, τις καταβολές φόρου εισοδήματος που σχετίζονται με το φορολογικό έλεγχο της Ρουμανίας για τις χρήσεις 2017-2021, τις καταβολές εξόδων αναδιοργάνωσης και τις καταβολές για αγορά φάσματος.</w:t>
      </w:r>
    </w:p>
    <w:p w14:paraId="3D5A995A" w14:textId="52382962" w:rsidR="00F31EE9" w:rsidRPr="00284899" w:rsidRDefault="00F31EE9" w:rsidP="00E026B6">
      <w:pPr>
        <w:pStyle w:val="ListParagraph"/>
        <w:jc w:val="both"/>
        <w:rPr>
          <w:rFonts w:ascii="Arial" w:hAnsi="Arial" w:cs="Arial"/>
          <w:lang w:val="el-GR"/>
        </w:rPr>
      </w:pPr>
    </w:p>
    <w:p w14:paraId="0658FA25" w14:textId="77777777" w:rsidR="00F31EE9" w:rsidRPr="001D7A36" w:rsidRDefault="00F31EE9" w:rsidP="00E026B6">
      <w:pPr>
        <w:spacing w:line="280" w:lineRule="exact"/>
        <w:jc w:val="both"/>
        <w:rPr>
          <w:rFonts w:ascii="Arial" w:eastAsia="Times New Roman" w:hAnsi="Arial" w:cs="Arial"/>
        </w:rPr>
      </w:pPr>
      <w:r w:rsidRPr="001D7A36">
        <w:rPr>
          <w:rFonts w:ascii="Arial" w:eastAsia="Times New Roman" w:hAnsi="Arial" w:cs="Arial"/>
        </w:rPr>
        <w:t>Οι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και οι Προσαρμοσμένες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bookmarkEnd w:id="14"/>
    <w:p w14:paraId="5D6F8679" w14:textId="77777777" w:rsidR="002306CF" w:rsidRDefault="002306CF" w:rsidP="00386EA0">
      <w:pPr>
        <w:spacing w:after="0" w:line="240" w:lineRule="auto"/>
        <w:jc w:val="both"/>
        <w:rPr>
          <w:rFonts w:ascii="Arial" w:eastAsia="Times New Roman" w:hAnsi="Arial" w:cs="Arial"/>
          <w:b/>
          <w:color w:val="004B87"/>
        </w:rPr>
      </w:pPr>
    </w:p>
    <w:tbl>
      <w:tblPr>
        <w:tblStyle w:val="TableGrid"/>
        <w:tblW w:w="10477"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78"/>
        <w:gridCol w:w="1358"/>
        <w:gridCol w:w="1319"/>
        <w:gridCol w:w="1411"/>
        <w:gridCol w:w="1411"/>
      </w:tblGrid>
      <w:tr w:rsidR="002306CF" w:rsidRPr="002306CF" w14:paraId="07F385DE" w14:textId="77777777" w:rsidTr="00744EE5">
        <w:trPr>
          <w:trHeight w:val="536"/>
        </w:trPr>
        <w:tc>
          <w:tcPr>
            <w:tcW w:w="497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84EC37" w14:textId="6B8DDF8C" w:rsidR="002306CF" w:rsidRPr="002306CF" w:rsidRDefault="003F7EA8" w:rsidP="00744EE5">
            <w:pPr>
              <w:pStyle w:val="ColorfulList-Accent11"/>
              <w:tabs>
                <w:tab w:val="left" w:pos="0"/>
                <w:tab w:val="left" w:pos="284"/>
              </w:tabs>
              <w:ind w:left="0" w:right="-90"/>
              <w:rPr>
                <w:rFonts w:ascii="Arial" w:hAnsi="Arial" w:cs="Arial"/>
                <w:i/>
                <w:color w:val="FF0000"/>
                <w:sz w:val="18"/>
              </w:rPr>
            </w:pPr>
            <w:r w:rsidRPr="00A7639D">
              <w:rPr>
                <w:rFonts w:ascii="Arial" w:hAnsi="Arial" w:cs="Arial"/>
                <w:b/>
                <w:sz w:val="18"/>
                <w:szCs w:val="18"/>
              </w:rPr>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35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966BDDD" w14:textId="77777777" w:rsidR="002306CF" w:rsidRPr="00C351AF" w:rsidRDefault="002306CF" w:rsidP="00744EE5">
            <w:pPr>
              <w:pStyle w:val="ColorfulList-Accent11"/>
              <w:tabs>
                <w:tab w:val="left" w:pos="0"/>
                <w:tab w:val="left" w:pos="284"/>
              </w:tabs>
              <w:ind w:left="0" w:right="-90"/>
              <w:jc w:val="center"/>
              <w:rPr>
                <w:rFonts w:ascii="Arial" w:hAnsi="Arial" w:cs="Arial"/>
                <w:i/>
                <w:sz w:val="18"/>
              </w:rPr>
            </w:pPr>
            <w:r w:rsidRPr="00C351AF">
              <w:rPr>
                <w:rFonts w:ascii="Arial" w:hAnsi="Arial" w:cs="Arial"/>
                <w:b/>
                <w:sz w:val="18"/>
              </w:rPr>
              <w:t>Q4'24</w:t>
            </w:r>
          </w:p>
        </w:tc>
        <w:tc>
          <w:tcPr>
            <w:tcW w:w="131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58EB6DA" w14:textId="77777777" w:rsidR="002306CF" w:rsidRPr="00C351AF" w:rsidRDefault="002306CF" w:rsidP="00744EE5">
            <w:pPr>
              <w:pStyle w:val="ColorfulList-Accent11"/>
              <w:tabs>
                <w:tab w:val="left" w:pos="0"/>
                <w:tab w:val="left" w:pos="284"/>
              </w:tabs>
              <w:ind w:left="0" w:right="-90"/>
              <w:jc w:val="center"/>
              <w:rPr>
                <w:rFonts w:ascii="Arial" w:hAnsi="Arial" w:cs="Arial"/>
                <w:i/>
                <w:sz w:val="18"/>
              </w:rPr>
            </w:pPr>
            <w:r w:rsidRPr="00C351AF">
              <w:rPr>
                <w:rFonts w:ascii="Arial" w:hAnsi="Arial" w:cs="Arial"/>
                <w:b/>
                <w:sz w:val="18"/>
              </w:rPr>
              <w:t>Q4'23</w:t>
            </w:r>
          </w:p>
        </w:tc>
        <w:tc>
          <w:tcPr>
            <w:tcW w:w="141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F09B4DD" w14:textId="77777777" w:rsidR="002306CF" w:rsidRPr="00C351AF" w:rsidRDefault="002306CF" w:rsidP="00744EE5">
            <w:pPr>
              <w:pStyle w:val="ColorfulList-Accent11"/>
              <w:tabs>
                <w:tab w:val="left" w:pos="0"/>
                <w:tab w:val="left" w:pos="284"/>
              </w:tabs>
              <w:ind w:left="0" w:right="-90"/>
              <w:jc w:val="center"/>
              <w:rPr>
                <w:rFonts w:ascii="Arial" w:hAnsi="Arial" w:cs="Arial"/>
                <w:b/>
                <w:sz w:val="18"/>
              </w:rPr>
            </w:pPr>
            <w:r w:rsidRPr="00C351AF">
              <w:rPr>
                <w:rFonts w:ascii="Arial" w:hAnsi="Arial" w:cs="Arial"/>
                <w:b/>
                <w:sz w:val="18"/>
              </w:rPr>
              <w:t>12M'24</w:t>
            </w:r>
          </w:p>
        </w:tc>
        <w:tc>
          <w:tcPr>
            <w:tcW w:w="1411" w:type="dxa"/>
            <w:tcBorders>
              <w:top w:val="single" w:sz="2" w:space="0" w:color="808080" w:themeColor="background1" w:themeShade="80"/>
              <w:bottom w:val="single" w:sz="2" w:space="0" w:color="808080" w:themeColor="background1" w:themeShade="80"/>
            </w:tcBorders>
            <w:vAlign w:val="center"/>
          </w:tcPr>
          <w:p w14:paraId="326C833D" w14:textId="77777777" w:rsidR="002306CF" w:rsidRPr="00C351AF" w:rsidRDefault="002306CF" w:rsidP="00744EE5">
            <w:pPr>
              <w:pStyle w:val="ColorfulList-Accent11"/>
              <w:tabs>
                <w:tab w:val="left" w:pos="0"/>
                <w:tab w:val="left" w:pos="284"/>
              </w:tabs>
              <w:ind w:left="0" w:right="-90"/>
              <w:jc w:val="center"/>
              <w:rPr>
                <w:rFonts w:ascii="Arial" w:hAnsi="Arial" w:cs="Arial"/>
                <w:b/>
                <w:sz w:val="18"/>
              </w:rPr>
            </w:pPr>
            <w:r w:rsidRPr="00C351AF">
              <w:rPr>
                <w:rFonts w:ascii="Arial" w:hAnsi="Arial" w:cs="Arial"/>
                <w:b/>
                <w:sz w:val="18"/>
              </w:rPr>
              <w:t>12M'23</w:t>
            </w:r>
          </w:p>
        </w:tc>
      </w:tr>
      <w:tr w:rsidR="002306CF" w:rsidRPr="002306CF" w14:paraId="264FD5EB" w14:textId="77777777" w:rsidTr="00744EE5">
        <w:trPr>
          <w:trHeight w:val="227"/>
        </w:trPr>
        <w:tc>
          <w:tcPr>
            <w:tcW w:w="4978" w:type="dxa"/>
            <w:tcBorders>
              <w:top w:val="single" w:sz="2" w:space="0" w:color="808080" w:themeColor="background1" w:themeShade="80"/>
              <w:right w:val="single" w:sz="2" w:space="0" w:color="808080" w:themeColor="background1" w:themeShade="80"/>
            </w:tcBorders>
            <w:vAlign w:val="center"/>
          </w:tcPr>
          <w:p w14:paraId="24634CCC" w14:textId="3CC5E616" w:rsidR="002306CF" w:rsidRPr="002306CF" w:rsidRDefault="002306CF" w:rsidP="002306CF">
            <w:pPr>
              <w:pStyle w:val="ColorfulList-Accent11"/>
              <w:tabs>
                <w:tab w:val="left" w:pos="0"/>
                <w:tab w:val="left" w:pos="284"/>
              </w:tabs>
              <w:ind w:left="0" w:right="-90"/>
              <w:jc w:val="both"/>
              <w:rPr>
                <w:rFonts w:ascii="Arial" w:hAnsi="Arial" w:cs="Arial"/>
                <w:i/>
                <w:color w:val="FF0000"/>
                <w:sz w:val="18"/>
              </w:rPr>
            </w:pPr>
          </w:p>
        </w:tc>
        <w:tc>
          <w:tcPr>
            <w:tcW w:w="1358" w:type="dxa"/>
            <w:tcBorders>
              <w:top w:val="single" w:sz="2" w:space="0" w:color="808080" w:themeColor="background1" w:themeShade="80"/>
              <w:left w:val="single" w:sz="2" w:space="0" w:color="808080" w:themeColor="background1" w:themeShade="80"/>
            </w:tcBorders>
            <w:vAlign w:val="center"/>
          </w:tcPr>
          <w:p w14:paraId="1085FBF7" w14:textId="57BE5D6B" w:rsidR="002306CF" w:rsidRPr="002306CF" w:rsidRDefault="002306CF" w:rsidP="002306CF">
            <w:pPr>
              <w:pStyle w:val="ColorfulList-Accent11"/>
              <w:tabs>
                <w:tab w:val="left" w:pos="0"/>
                <w:tab w:val="left" w:pos="284"/>
              </w:tabs>
              <w:ind w:left="0" w:right="-90"/>
              <w:jc w:val="center"/>
              <w:rPr>
                <w:rFonts w:ascii="Arial" w:hAnsi="Arial" w:cs="Arial"/>
                <w:i/>
                <w:color w:val="FF0000"/>
                <w:sz w:val="18"/>
              </w:rPr>
            </w:pPr>
          </w:p>
        </w:tc>
        <w:tc>
          <w:tcPr>
            <w:tcW w:w="1319" w:type="dxa"/>
            <w:tcBorders>
              <w:top w:val="single" w:sz="2" w:space="0" w:color="808080" w:themeColor="background1" w:themeShade="80"/>
              <w:right w:val="single" w:sz="2" w:space="0" w:color="808080" w:themeColor="background1" w:themeShade="80"/>
            </w:tcBorders>
            <w:vAlign w:val="center"/>
          </w:tcPr>
          <w:p w14:paraId="7F1FDBA3" w14:textId="2D8162F7" w:rsidR="002306CF" w:rsidRPr="002306CF" w:rsidRDefault="002306CF" w:rsidP="002306CF">
            <w:pPr>
              <w:pStyle w:val="ColorfulList-Accent11"/>
              <w:tabs>
                <w:tab w:val="left" w:pos="0"/>
                <w:tab w:val="left" w:pos="284"/>
              </w:tabs>
              <w:ind w:left="0" w:right="-90"/>
              <w:jc w:val="center"/>
              <w:rPr>
                <w:rFonts w:ascii="Arial" w:hAnsi="Arial" w:cs="Arial"/>
                <w:i/>
                <w:color w:val="FF0000"/>
                <w:sz w:val="18"/>
              </w:rPr>
            </w:pPr>
          </w:p>
        </w:tc>
        <w:tc>
          <w:tcPr>
            <w:tcW w:w="1411" w:type="dxa"/>
            <w:tcBorders>
              <w:top w:val="single" w:sz="2" w:space="0" w:color="808080" w:themeColor="background1" w:themeShade="80"/>
              <w:left w:val="single" w:sz="2" w:space="0" w:color="808080" w:themeColor="background1" w:themeShade="80"/>
            </w:tcBorders>
            <w:vAlign w:val="center"/>
          </w:tcPr>
          <w:p w14:paraId="043A032A" w14:textId="31B5FB95"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p>
        </w:tc>
        <w:tc>
          <w:tcPr>
            <w:tcW w:w="1411" w:type="dxa"/>
            <w:tcBorders>
              <w:top w:val="single" w:sz="2" w:space="0" w:color="808080" w:themeColor="background1" w:themeShade="80"/>
            </w:tcBorders>
            <w:vAlign w:val="center"/>
          </w:tcPr>
          <w:p w14:paraId="40981AFB" w14:textId="65E23271"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p>
        </w:tc>
      </w:tr>
      <w:tr w:rsidR="002306CF" w:rsidRPr="002306CF" w14:paraId="15684273" w14:textId="77777777" w:rsidTr="00744EE5">
        <w:trPr>
          <w:trHeight w:val="227"/>
        </w:trPr>
        <w:tc>
          <w:tcPr>
            <w:tcW w:w="4978" w:type="dxa"/>
            <w:tcBorders>
              <w:right w:val="single" w:sz="2" w:space="0" w:color="808080" w:themeColor="background1" w:themeShade="80"/>
            </w:tcBorders>
            <w:vAlign w:val="center"/>
          </w:tcPr>
          <w:p w14:paraId="5FCE5DD4" w14:textId="67D0EE4A" w:rsidR="002306CF" w:rsidRPr="0049145A" w:rsidRDefault="00C77C79" w:rsidP="002306CF">
            <w:pPr>
              <w:pStyle w:val="ColorfulList-Accent11"/>
              <w:tabs>
                <w:tab w:val="left" w:pos="0"/>
                <w:tab w:val="left" w:pos="284"/>
              </w:tabs>
              <w:ind w:left="0" w:right="-90"/>
              <w:jc w:val="both"/>
              <w:rPr>
                <w:rFonts w:ascii="Arial" w:hAnsi="Arial" w:cs="Arial"/>
                <w:i/>
                <w:color w:val="FF0000"/>
                <w:sz w:val="18"/>
                <w:lang w:val="el-GR"/>
              </w:rPr>
            </w:pPr>
            <w:r w:rsidRPr="0049145A">
              <w:rPr>
                <w:rFonts w:ascii="Arial" w:hAnsi="Arial" w:cs="Arial"/>
                <w:spacing w:val="-2"/>
                <w:sz w:val="18"/>
                <w:lang w:val="el-GR"/>
              </w:rPr>
              <w:t>Καθαρές</w:t>
            </w:r>
            <w:r w:rsidRPr="0049145A">
              <w:rPr>
                <w:rFonts w:ascii="Arial" w:hAnsi="Arial" w:cs="Arial"/>
                <w:spacing w:val="-7"/>
                <w:sz w:val="18"/>
                <w:lang w:val="el-GR"/>
              </w:rPr>
              <w:t xml:space="preserve"> </w:t>
            </w:r>
            <w:r w:rsidRPr="0049145A">
              <w:rPr>
                <w:rFonts w:ascii="Arial" w:hAnsi="Arial" w:cs="Arial"/>
                <w:spacing w:val="-2"/>
                <w:sz w:val="18"/>
                <w:lang w:val="el-GR"/>
              </w:rPr>
              <w:t>ταμειακές</w:t>
            </w:r>
            <w:r w:rsidRPr="0049145A">
              <w:rPr>
                <w:rFonts w:ascii="Arial" w:hAnsi="Arial" w:cs="Arial"/>
                <w:spacing w:val="-5"/>
                <w:sz w:val="18"/>
                <w:lang w:val="el-GR"/>
              </w:rPr>
              <w:t xml:space="preserve"> </w:t>
            </w:r>
            <w:r w:rsidRPr="0049145A">
              <w:rPr>
                <w:rFonts w:ascii="Arial" w:hAnsi="Arial" w:cs="Arial"/>
                <w:spacing w:val="-2"/>
                <w:sz w:val="18"/>
                <w:lang w:val="el-GR"/>
              </w:rPr>
              <w:t>εισροές</w:t>
            </w:r>
            <w:r w:rsidRPr="0049145A">
              <w:rPr>
                <w:rFonts w:ascii="Arial" w:hAnsi="Arial" w:cs="Arial"/>
                <w:spacing w:val="-7"/>
                <w:sz w:val="18"/>
                <w:lang w:val="el-GR"/>
              </w:rPr>
              <w:t xml:space="preserve"> </w:t>
            </w:r>
            <w:r w:rsidRPr="0049145A">
              <w:rPr>
                <w:rFonts w:ascii="Arial" w:hAnsi="Arial" w:cs="Arial"/>
                <w:spacing w:val="-2"/>
                <w:sz w:val="18"/>
                <w:lang w:val="el-GR"/>
              </w:rPr>
              <w:t>από</w:t>
            </w:r>
            <w:r w:rsidRPr="0049145A">
              <w:rPr>
                <w:rFonts w:ascii="Arial" w:hAnsi="Arial" w:cs="Arial"/>
                <w:spacing w:val="-5"/>
                <w:sz w:val="18"/>
                <w:lang w:val="el-GR"/>
              </w:rPr>
              <w:t xml:space="preserve"> </w:t>
            </w:r>
            <w:r w:rsidRPr="0049145A">
              <w:rPr>
                <w:rFonts w:ascii="Arial" w:hAnsi="Arial" w:cs="Arial"/>
                <w:spacing w:val="-2"/>
                <w:sz w:val="18"/>
                <w:lang w:val="el-GR"/>
              </w:rPr>
              <w:t>λειτουργικές</w:t>
            </w:r>
            <w:r w:rsidRPr="0049145A">
              <w:rPr>
                <w:rFonts w:ascii="Arial" w:hAnsi="Arial" w:cs="Arial"/>
                <w:spacing w:val="-4"/>
                <w:sz w:val="18"/>
                <w:lang w:val="el-GR"/>
              </w:rPr>
              <w:t xml:space="preserve"> </w:t>
            </w:r>
            <w:r w:rsidRPr="0049145A">
              <w:rPr>
                <w:rFonts w:ascii="Arial" w:hAnsi="Arial" w:cs="Arial"/>
                <w:spacing w:val="-2"/>
                <w:sz w:val="18"/>
                <w:lang w:val="el-GR"/>
              </w:rPr>
              <w:t>δραστηριότητες</w:t>
            </w:r>
          </w:p>
        </w:tc>
        <w:tc>
          <w:tcPr>
            <w:tcW w:w="1358" w:type="dxa"/>
            <w:tcBorders>
              <w:left w:val="single" w:sz="2" w:space="0" w:color="808080" w:themeColor="background1" w:themeShade="80"/>
            </w:tcBorders>
            <w:vAlign w:val="center"/>
          </w:tcPr>
          <w:p w14:paraId="0AF27678" w14:textId="04B62D4B"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283</w:t>
            </w:r>
            <w:r w:rsidR="00084951">
              <w:rPr>
                <w:rFonts w:ascii="Arial" w:hAnsi="Arial" w:cs="Arial"/>
                <w:color w:val="000000" w:themeColor="text1"/>
                <w:sz w:val="18"/>
                <w:szCs w:val="18"/>
              </w:rPr>
              <w:t>,</w:t>
            </w:r>
            <w:r w:rsidRPr="008B52AE">
              <w:rPr>
                <w:rFonts w:ascii="Arial" w:hAnsi="Arial" w:cs="Arial"/>
                <w:color w:val="000000" w:themeColor="text1"/>
                <w:sz w:val="18"/>
                <w:szCs w:val="18"/>
              </w:rPr>
              <w:t>9</w:t>
            </w:r>
          </w:p>
        </w:tc>
        <w:tc>
          <w:tcPr>
            <w:tcW w:w="1319" w:type="dxa"/>
            <w:tcBorders>
              <w:right w:val="single" w:sz="2" w:space="0" w:color="808080" w:themeColor="background1" w:themeShade="80"/>
            </w:tcBorders>
            <w:vAlign w:val="center"/>
          </w:tcPr>
          <w:p w14:paraId="12B79504" w14:textId="47DC577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313</w:t>
            </w:r>
            <w:r w:rsidR="00084951">
              <w:rPr>
                <w:rFonts w:ascii="Arial" w:hAnsi="Arial" w:cs="Arial"/>
                <w:color w:val="000000" w:themeColor="text1"/>
                <w:sz w:val="18"/>
                <w:szCs w:val="18"/>
              </w:rPr>
              <w:t>,</w:t>
            </w:r>
            <w:r w:rsidRPr="008B52AE">
              <w:rPr>
                <w:rFonts w:ascii="Arial" w:hAnsi="Arial" w:cs="Arial"/>
                <w:color w:val="000000" w:themeColor="text1"/>
                <w:sz w:val="18"/>
                <w:szCs w:val="18"/>
              </w:rPr>
              <w:t>6</w:t>
            </w:r>
          </w:p>
        </w:tc>
        <w:tc>
          <w:tcPr>
            <w:tcW w:w="1411" w:type="dxa"/>
            <w:tcBorders>
              <w:left w:val="single" w:sz="2" w:space="0" w:color="808080" w:themeColor="background1" w:themeShade="80"/>
            </w:tcBorders>
            <w:vAlign w:val="center"/>
          </w:tcPr>
          <w:p w14:paraId="27DC6F81" w14:textId="5A5D6A89"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w:t>
            </w:r>
            <w:r w:rsidR="00084951">
              <w:rPr>
                <w:rFonts w:ascii="Arial" w:hAnsi="Arial" w:cs="Arial"/>
                <w:color w:val="000000" w:themeColor="text1"/>
                <w:sz w:val="18"/>
                <w:szCs w:val="18"/>
              </w:rPr>
              <w:t>.</w:t>
            </w:r>
            <w:r w:rsidRPr="008B52AE">
              <w:rPr>
                <w:rFonts w:ascii="Arial" w:hAnsi="Arial" w:cs="Arial"/>
                <w:color w:val="000000" w:themeColor="text1"/>
                <w:sz w:val="18"/>
                <w:szCs w:val="18"/>
              </w:rPr>
              <w:t>102</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vAlign w:val="center"/>
          </w:tcPr>
          <w:p w14:paraId="4EAE726B" w14:textId="6CE85676"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w:t>
            </w:r>
            <w:r w:rsidR="00084951">
              <w:rPr>
                <w:rFonts w:ascii="Arial" w:hAnsi="Arial" w:cs="Arial"/>
                <w:color w:val="000000" w:themeColor="text1"/>
                <w:sz w:val="18"/>
                <w:szCs w:val="18"/>
              </w:rPr>
              <w:t>.</w:t>
            </w:r>
            <w:r w:rsidRPr="008B52AE">
              <w:rPr>
                <w:rFonts w:ascii="Arial" w:hAnsi="Arial" w:cs="Arial"/>
                <w:color w:val="000000" w:themeColor="text1"/>
                <w:sz w:val="18"/>
                <w:szCs w:val="18"/>
              </w:rPr>
              <w:t>195</w:t>
            </w:r>
            <w:r w:rsidR="00084951">
              <w:rPr>
                <w:rFonts w:ascii="Arial" w:hAnsi="Arial" w:cs="Arial"/>
                <w:color w:val="000000" w:themeColor="text1"/>
                <w:sz w:val="18"/>
                <w:szCs w:val="18"/>
              </w:rPr>
              <w:t>,</w:t>
            </w:r>
            <w:r w:rsidRPr="008B52AE">
              <w:rPr>
                <w:rFonts w:ascii="Arial" w:hAnsi="Arial" w:cs="Arial"/>
                <w:color w:val="000000" w:themeColor="text1"/>
                <w:sz w:val="18"/>
                <w:szCs w:val="18"/>
              </w:rPr>
              <w:t>1</w:t>
            </w:r>
          </w:p>
        </w:tc>
      </w:tr>
      <w:tr w:rsidR="002306CF" w:rsidRPr="002306CF" w14:paraId="740FFABF" w14:textId="77777777" w:rsidTr="00744EE5">
        <w:trPr>
          <w:trHeight w:val="227"/>
        </w:trPr>
        <w:tc>
          <w:tcPr>
            <w:tcW w:w="4978" w:type="dxa"/>
            <w:tcBorders>
              <w:right w:val="single" w:sz="2" w:space="0" w:color="808080" w:themeColor="background1" w:themeShade="80"/>
            </w:tcBorders>
            <w:vAlign w:val="center"/>
          </w:tcPr>
          <w:p w14:paraId="5BC9E581" w14:textId="5A5D3DC7" w:rsidR="002306CF" w:rsidRPr="0049145A" w:rsidRDefault="00C77C79" w:rsidP="002306CF">
            <w:pPr>
              <w:pStyle w:val="ColorfulList-Accent11"/>
              <w:tabs>
                <w:tab w:val="left" w:pos="0"/>
                <w:tab w:val="left" w:pos="284"/>
              </w:tabs>
              <w:ind w:left="0" w:right="-90"/>
              <w:jc w:val="both"/>
              <w:rPr>
                <w:rFonts w:ascii="Arial" w:hAnsi="Arial" w:cs="Arial"/>
                <w:color w:val="FF0000"/>
                <w:sz w:val="18"/>
                <w:lang w:val="el-GR"/>
              </w:rPr>
            </w:pPr>
            <w:r w:rsidRPr="0049145A">
              <w:rPr>
                <w:rFonts w:ascii="Arial" w:hAnsi="Arial" w:cs="Arial"/>
                <w:spacing w:val="-2"/>
                <w:sz w:val="18"/>
                <w:lang w:val="el-GR"/>
              </w:rPr>
              <w:t>Αγορά</w:t>
            </w:r>
            <w:r w:rsidRPr="0049145A">
              <w:rPr>
                <w:rFonts w:ascii="Arial" w:hAnsi="Arial" w:cs="Arial"/>
                <w:spacing w:val="-6"/>
                <w:sz w:val="18"/>
                <w:lang w:val="el-GR"/>
              </w:rPr>
              <w:t xml:space="preserve"> </w:t>
            </w:r>
            <w:r w:rsidRPr="0049145A">
              <w:rPr>
                <w:rFonts w:ascii="Arial" w:hAnsi="Arial" w:cs="Arial"/>
                <w:spacing w:val="-2"/>
                <w:sz w:val="18"/>
                <w:lang w:val="el-GR"/>
              </w:rPr>
              <w:t>ενσώματων</w:t>
            </w:r>
            <w:r w:rsidRPr="0049145A">
              <w:rPr>
                <w:rFonts w:ascii="Arial" w:hAnsi="Arial" w:cs="Arial"/>
                <w:spacing w:val="-5"/>
                <w:sz w:val="18"/>
                <w:lang w:val="el-GR"/>
              </w:rPr>
              <w:t xml:space="preserve"> </w:t>
            </w:r>
            <w:r w:rsidRPr="0049145A">
              <w:rPr>
                <w:rFonts w:ascii="Arial" w:hAnsi="Arial" w:cs="Arial"/>
                <w:spacing w:val="-2"/>
                <w:sz w:val="18"/>
                <w:lang w:val="el-GR"/>
              </w:rPr>
              <w:t>και</w:t>
            </w:r>
            <w:r w:rsidRPr="0049145A">
              <w:rPr>
                <w:rFonts w:ascii="Arial" w:hAnsi="Arial" w:cs="Arial"/>
                <w:spacing w:val="-5"/>
                <w:sz w:val="18"/>
                <w:lang w:val="el-GR"/>
              </w:rPr>
              <w:t xml:space="preserve"> </w:t>
            </w:r>
            <w:r w:rsidRPr="0049145A">
              <w:rPr>
                <w:rFonts w:ascii="Arial" w:hAnsi="Arial" w:cs="Arial"/>
                <w:spacing w:val="-2"/>
                <w:sz w:val="18"/>
                <w:lang w:val="el-GR"/>
              </w:rPr>
              <w:t>άυλων</w:t>
            </w:r>
            <w:r w:rsidRPr="0049145A">
              <w:rPr>
                <w:rFonts w:ascii="Arial" w:hAnsi="Arial" w:cs="Arial"/>
                <w:spacing w:val="-6"/>
                <w:sz w:val="18"/>
                <w:lang w:val="el-GR"/>
              </w:rPr>
              <w:t xml:space="preserve"> </w:t>
            </w:r>
            <w:r w:rsidRPr="0049145A">
              <w:rPr>
                <w:rFonts w:ascii="Arial" w:hAnsi="Arial" w:cs="Arial"/>
                <w:spacing w:val="-2"/>
                <w:sz w:val="18"/>
                <w:lang w:val="el-GR"/>
              </w:rPr>
              <w:t>παγίων</w:t>
            </w:r>
            <w:r w:rsidRPr="0049145A">
              <w:rPr>
                <w:rFonts w:ascii="Arial" w:hAnsi="Arial" w:cs="Arial"/>
                <w:spacing w:val="-5"/>
                <w:sz w:val="18"/>
                <w:lang w:val="el-GR"/>
              </w:rPr>
              <w:t xml:space="preserve"> </w:t>
            </w:r>
            <w:r w:rsidRPr="0049145A">
              <w:rPr>
                <w:rFonts w:ascii="Arial" w:hAnsi="Arial" w:cs="Arial"/>
                <w:spacing w:val="-2"/>
                <w:sz w:val="18"/>
                <w:lang w:val="el-GR"/>
              </w:rPr>
              <w:t>περιουσιακών</w:t>
            </w:r>
            <w:r w:rsidRPr="0049145A">
              <w:rPr>
                <w:rFonts w:ascii="Arial" w:hAnsi="Arial" w:cs="Arial"/>
                <w:spacing w:val="-5"/>
                <w:sz w:val="18"/>
                <w:lang w:val="el-GR"/>
              </w:rPr>
              <w:t xml:space="preserve"> </w:t>
            </w:r>
            <w:r w:rsidRPr="0049145A">
              <w:rPr>
                <w:rFonts w:ascii="Arial" w:hAnsi="Arial" w:cs="Arial"/>
                <w:spacing w:val="-2"/>
                <w:sz w:val="18"/>
                <w:lang w:val="el-GR"/>
              </w:rPr>
              <w:t>στοιχείων</w:t>
            </w:r>
          </w:p>
        </w:tc>
        <w:tc>
          <w:tcPr>
            <w:tcW w:w="1358" w:type="dxa"/>
            <w:tcBorders>
              <w:left w:val="single" w:sz="2" w:space="0" w:color="808080" w:themeColor="background1" w:themeShade="80"/>
            </w:tcBorders>
            <w:vAlign w:val="center"/>
          </w:tcPr>
          <w:p w14:paraId="6B767AC0" w14:textId="33194B54"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(166</w:t>
            </w:r>
            <w:r w:rsidR="00084951">
              <w:rPr>
                <w:rFonts w:ascii="Arial" w:hAnsi="Arial" w:cs="Arial"/>
                <w:color w:val="000000" w:themeColor="text1"/>
                <w:sz w:val="18"/>
                <w:szCs w:val="18"/>
              </w:rPr>
              <w:t>,</w:t>
            </w:r>
            <w:r w:rsidRPr="008B52AE">
              <w:rPr>
                <w:rFonts w:ascii="Arial" w:hAnsi="Arial" w:cs="Arial"/>
                <w:color w:val="000000" w:themeColor="text1"/>
                <w:sz w:val="18"/>
                <w:szCs w:val="18"/>
              </w:rPr>
              <w:t>7)</w:t>
            </w:r>
          </w:p>
        </w:tc>
        <w:tc>
          <w:tcPr>
            <w:tcW w:w="1319" w:type="dxa"/>
            <w:tcBorders>
              <w:right w:val="single" w:sz="2" w:space="0" w:color="808080" w:themeColor="background1" w:themeShade="80"/>
            </w:tcBorders>
            <w:vAlign w:val="center"/>
          </w:tcPr>
          <w:p w14:paraId="3B4FFF60" w14:textId="76D1CEA8"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(191</w:t>
            </w:r>
            <w:r w:rsidR="00084951">
              <w:rPr>
                <w:rFonts w:ascii="Arial" w:hAnsi="Arial" w:cs="Arial"/>
                <w:color w:val="000000" w:themeColor="text1"/>
                <w:sz w:val="18"/>
                <w:szCs w:val="18"/>
              </w:rPr>
              <w:t>,</w:t>
            </w:r>
            <w:r w:rsidRPr="008B52AE">
              <w:rPr>
                <w:rFonts w:ascii="Arial" w:hAnsi="Arial" w:cs="Arial"/>
                <w:color w:val="000000" w:themeColor="text1"/>
                <w:sz w:val="18"/>
                <w:szCs w:val="18"/>
              </w:rPr>
              <w:t>5)</w:t>
            </w:r>
          </w:p>
        </w:tc>
        <w:tc>
          <w:tcPr>
            <w:tcW w:w="1411" w:type="dxa"/>
            <w:tcBorders>
              <w:left w:val="single" w:sz="2" w:space="0" w:color="808080" w:themeColor="background1" w:themeShade="80"/>
            </w:tcBorders>
            <w:vAlign w:val="center"/>
          </w:tcPr>
          <w:p w14:paraId="0704E7CF" w14:textId="0090534B"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(599</w:t>
            </w:r>
            <w:r w:rsidR="00084951">
              <w:rPr>
                <w:rFonts w:ascii="Arial" w:hAnsi="Arial" w:cs="Arial"/>
                <w:color w:val="000000" w:themeColor="text1"/>
                <w:sz w:val="18"/>
                <w:szCs w:val="18"/>
              </w:rPr>
              <w:t>,</w:t>
            </w:r>
            <w:r w:rsidRPr="008B52AE">
              <w:rPr>
                <w:rFonts w:ascii="Arial" w:hAnsi="Arial" w:cs="Arial"/>
                <w:color w:val="000000" w:themeColor="text1"/>
                <w:sz w:val="18"/>
                <w:szCs w:val="18"/>
              </w:rPr>
              <w:t>7)</w:t>
            </w:r>
          </w:p>
        </w:tc>
        <w:tc>
          <w:tcPr>
            <w:tcW w:w="1411" w:type="dxa"/>
            <w:vAlign w:val="center"/>
          </w:tcPr>
          <w:p w14:paraId="623DB32F" w14:textId="6E042F81"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(621</w:t>
            </w:r>
            <w:r w:rsidR="00084951">
              <w:rPr>
                <w:rFonts w:ascii="Arial" w:hAnsi="Arial" w:cs="Arial"/>
                <w:color w:val="000000" w:themeColor="text1"/>
                <w:sz w:val="18"/>
                <w:szCs w:val="18"/>
              </w:rPr>
              <w:t>,</w:t>
            </w:r>
            <w:r w:rsidR="002306CF" w:rsidRPr="008B52AE">
              <w:rPr>
                <w:rFonts w:ascii="Arial" w:hAnsi="Arial" w:cs="Arial"/>
                <w:color w:val="000000" w:themeColor="text1"/>
                <w:sz w:val="18"/>
                <w:szCs w:val="18"/>
              </w:rPr>
              <w:t>4</w:t>
            </w:r>
            <w:r w:rsidRPr="008B52AE">
              <w:rPr>
                <w:rFonts w:ascii="Arial" w:hAnsi="Arial" w:cs="Arial"/>
                <w:color w:val="000000" w:themeColor="text1"/>
                <w:sz w:val="18"/>
                <w:szCs w:val="18"/>
              </w:rPr>
              <w:t>)</w:t>
            </w:r>
          </w:p>
        </w:tc>
      </w:tr>
      <w:tr w:rsidR="002306CF" w:rsidRPr="002306CF" w14:paraId="2BADE7AF" w14:textId="77777777" w:rsidTr="00744EE5">
        <w:trPr>
          <w:trHeight w:val="227"/>
        </w:trPr>
        <w:tc>
          <w:tcPr>
            <w:tcW w:w="4978" w:type="dxa"/>
            <w:tcBorders>
              <w:right w:val="single" w:sz="2" w:space="0" w:color="808080" w:themeColor="background1" w:themeShade="80"/>
            </w:tcBorders>
            <w:vAlign w:val="center"/>
          </w:tcPr>
          <w:p w14:paraId="24136813" w14:textId="1ABFF1E1"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Πιστωτικοί</w:t>
            </w:r>
            <w:r w:rsidRPr="0049145A">
              <w:rPr>
                <w:rFonts w:ascii="Arial" w:hAnsi="Arial" w:cs="Arial"/>
                <w:spacing w:val="-7"/>
                <w:sz w:val="18"/>
              </w:rPr>
              <w:t xml:space="preserve"> </w:t>
            </w:r>
            <w:r w:rsidRPr="0049145A">
              <w:rPr>
                <w:rFonts w:ascii="Arial" w:hAnsi="Arial" w:cs="Arial"/>
                <w:spacing w:val="-2"/>
                <w:sz w:val="18"/>
              </w:rPr>
              <w:t>τόκοι</w:t>
            </w:r>
            <w:r w:rsidRPr="0049145A">
              <w:rPr>
                <w:rFonts w:ascii="Arial" w:hAnsi="Arial" w:cs="Arial"/>
                <w:spacing w:val="-7"/>
                <w:sz w:val="18"/>
              </w:rPr>
              <w:t xml:space="preserve"> </w:t>
            </w:r>
            <w:r w:rsidRPr="0049145A">
              <w:rPr>
                <w:rFonts w:ascii="Arial" w:hAnsi="Arial" w:cs="Arial"/>
                <w:spacing w:val="-2"/>
                <w:sz w:val="18"/>
              </w:rPr>
              <w:t>εισπραχθέντες</w:t>
            </w:r>
          </w:p>
        </w:tc>
        <w:tc>
          <w:tcPr>
            <w:tcW w:w="1358" w:type="dxa"/>
            <w:tcBorders>
              <w:left w:val="single" w:sz="2" w:space="0" w:color="808080" w:themeColor="background1" w:themeShade="80"/>
            </w:tcBorders>
            <w:vAlign w:val="center"/>
          </w:tcPr>
          <w:p w14:paraId="178C6FF4" w14:textId="49B33994"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w:t>
            </w:r>
            <w:r w:rsidR="00084951">
              <w:rPr>
                <w:rFonts w:ascii="Arial" w:hAnsi="Arial" w:cs="Arial"/>
                <w:color w:val="000000" w:themeColor="text1"/>
                <w:sz w:val="18"/>
                <w:szCs w:val="18"/>
              </w:rPr>
              <w:t>,</w:t>
            </w:r>
            <w:r w:rsidRPr="008B52AE">
              <w:rPr>
                <w:rFonts w:ascii="Arial" w:hAnsi="Arial" w:cs="Arial"/>
                <w:color w:val="000000" w:themeColor="text1"/>
                <w:sz w:val="18"/>
                <w:szCs w:val="18"/>
              </w:rPr>
              <w:t>5</w:t>
            </w:r>
          </w:p>
        </w:tc>
        <w:tc>
          <w:tcPr>
            <w:tcW w:w="1319" w:type="dxa"/>
            <w:tcBorders>
              <w:right w:val="single" w:sz="2" w:space="0" w:color="808080" w:themeColor="background1" w:themeShade="80"/>
            </w:tcBorders>
            <w:vAlign w:val="center"/>
          </w:tcPr>
          <w:p w14:paraId="01AFAF53" w14:textId="6291570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tcBorders>
              <w:left w:val="single" w:sz="2" w:space="0" w:color="808080" w:themeColor="background1" w:themeShade="80"/>
            </w:tcBorders>
            <w:vAlign w:val="center"/>
          </w:tcPr>
          <w:p w14:paraId="4BE5A1CC" w14:textId="74D5C633"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13</w:t>
            </w:r>
            <w:r w:rsidR="00084951">
              <w:rPr>
                <w:rFonts w:ascii="Arial" w:hAnsi="Arial" w:cs="Arial"/>
                <w:color w:val="000000" w:themeColor="text1"/>
                <w:sz w:val="18"/>
                <w:szCs w:val="18"/>
              </w:rPr>
              <w:t>,</w:t>
            </w:r>
            <w:r w:rsidRPr="008B52AE">
              <w:rPr>
                <w:rFonts w:ascii="Arial" w:hAnsi="Arial" w:cs="Arial"/>
                <w:color w:val="000000" w:themeColor="text1"/>
                <w:sz w:val="18"/>
                <w:szCs w:val="18"/>
              </w:rPr>
              <w:t>3</w:t>
            </w:r>
          </w:p>
        </w:tc>
        <w:tc>
          <w:tcPr>
            <w:tcW w:w="1411" w:type="dxa"/>
            <w:vAlign w:val="center"/>
          </w:tcPr>
          <w:p w14:paraId="437CF41D" w14:textId="4BB359EC"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10</w:t>
            </w:r>
            <w:r w:rsidR="00084951">
              <w:rPr>
                <w:rFonts w:ascii="Arial" w:hAnsi="Arial" w:cs="Arial"/>
                <w:color w:val="000000" w:themeColor="text1"/>
                <w:sz w:val="18"/>
                <w:szCs w:val="18"/>
              </w:rPr>
              <w:t>,</w:t>
            </w:r>
            <w:r w:rsidRPr="008B52AE">
              <w:rPr>
                <w:rFonts w:ascii="Arial" w:hAnsi="Arial" w:cs="Arial"/>
                <w:color w:val="000000" w:themeColor="text1"/>
                <w:sz w:val="18"/>
                <w:szCs w:val="18"/>
              </w:rPr>
              <w:t>4</w:t>
            </w:r>
          </w:p>
        </w:tc>
      </w:tr>
      <w:tr w:rsidR="002306CF" w:rsidRPr="002306CF" w14:paraId="1D945B4D" w14:textId="77777777" w:rsidTr="00744EE5">
        <w:trPr>
          <w:trHeight w:val="227"/>
        </w:trPr>
        <w:tc>
          <w:tcPr>
            <w:tcW w:w="4978" w:type="dxa"/>
            <w:tcBorders>
              <w:right w:val="single" w:sz="2" w:space="0" w:color="808080" w:themeColor="background1" w:themeShade="80"/>
            </w:tcBorders>
            <w:vAlign w:val="center"/>
          </w:tcPr>
          <w:p w14:paraId="499DF4AC" w14:textId="67605A84"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b/>
                <w:bCs/>
                <w:spacing w:val="-2"/>
                <w:sz w:val="18"/>
              </w:rPr>
              <w:t>Ελεύθερες</w:t>
            </w:r>
            <w:r w:rsidRPr="0049145A">
              <w:rPr>
                <w:rFonts w:ascii="Arial" w:hAnsi="Arial" w:cs="Arial"/>
                <w:b/>
                <w:bCs/>
                <w:spacing w:val="-7"/>
                <w:sz w:val="18"/>
              </w:rPr>
              <w:t xml:space="preserve"> </w:t>
            </w:r>
            <w:r w:rsidRPr="0049145A">
              <w:rPr>
                <w:rFonts w:ascii="Arial" w:hAnsi="Arial" w:cs="Arial"/>
                <w:b/>
                <w:bCs/>
                <w:spacing w:val="-2"/>
                <w:sz w:val="18"/>
              </w:rPr>
              <w:t>Ταμειακές</w:t>
            </w:r>
            <w:r w:rsidRPr="0049145A">
              <w:rPr>
                <w:rFonts w:ascii="Arial" w:hAnsi="Arial" w:cs="Arial"/>
                <w:b/>
                <w:bCs/>
                <w:spacing w:val="-4"/>
                <w:sz w:val="18"/>
              </w:rPr>
              <w:t xml:space="preserve"> Ροές</w:t>
            </w:r>
          </w:p>
        </w:tc>
        <w:tc>
          <w:tcPr>
            <w:tcW w:w="1358" w:type="dxa"/>
            <w:tcBorders>
              <w:left w:val="single" w:sz="2" w:space="0" w:color="808080" w:themeColor="background1" w:themeShade="80"/>
            </w:tcBorders>
            <w:vAlign w:val="center"/>
          </w:tcPr>
          <w:p w14:paraId="4BC04AFE" w14:textId="61C1674F"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120</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7</w:t>
            </w:r>
          </w:p>
        </w:tc>
        <w:tc>
          <w:tcPr>
            <w:tcW w:w="1319" w:type="dxa"/>
            <w:tcBorders>
              <w:right w:val="single" w:sz="2" w:space="0" w:color="808080" w:themeColor="background1" w:themeShade="80"/>
            </w:tcBorders>
            <w:vAlign w:val="center"/>
          </w:tcPr>
          <w:p w14:paraId="2B09CA51" w14:textId="00E4A5E3"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125</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3</w:t>
            </w:r>
          </w:p>
        </w:tc>
        <w:tc>
          <w:tcPr>
            <w:tcW w:w="1411" w:type="dxa"/>
            <w:tcBorders>
              <w:left w:val="single" w:sz="2" w:space="0" w:color="808080" w:themeColor="background1" w:themeShade="80"/>
            </w:tcBorders>
            <w:vAlign w:val="center"/>
          </w:tcPr>
          <w:p w14:paraId="31A34950" w14:textId="043A334B"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515</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8</w:t>
            </w:r>
          </w:p>
        </w:tc>
        <w:tc>
          <w:tcPr>
            <w:tcW w:w="1411" w:type="dxa"/>
            <w:vAlign w:val="center"/>
          </w:tcPr>
          <w:p w14:paraId="60404B44" w14:textId="5483A085"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584</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1</w:t>
            </w:r>
          </w:p>
        </w:tc>
      </w:tr>
      <w:tr w:rsidR="002306CF" w:rsidRPr="002306CF" w14:paraId="767C0B6C" w14:textId="77777777" w:rsidTr="00744EE5">
        <w:trPr>
          <w:trHeight w:val="227"/>
        </w:trPr>
        <w:tc>
          <w:tcPr>
            <w:tcW w:w="4978" w:type="dxa"/>
            <w:tcBorders>
              <w:right w:val="single" w:sz="2" w:space="0" w:color="808080" w:themeColor="background1" w:themeShade="80"/>
            </w:tcBorders>
            <w:vAlign w:val="center"/>
          </w:tcPr>
          <w:p w14:paraId="5F7F6C84" w14:textId="43E16371"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Αποπληρωμή</w:t>
            </w:r>
            <w:r w:rsidRPr="0049145A">
              <w:rPr>
                <w:rFonts w:ascii="Arial" w:hAnsi="Arial" w:cs="Arial"/>
                <w:spacing w:val="-7"/>
                <w:sz w:val="18"/>
              </w:rPr>
              <w:t xml:space="preserve"> </w:t>
            </w:r>
            <w:r w:rsidRPr="0049145A">
              <w:rPr>
                <w:rFonts w:ascii="Arial" w:hAnsi="Arial" w:cs="Arial"/>
                <w:spacing w:val="-2"/>
                <w:sz w:val="18"/>
              </w:rPr>
              <w:t>υποχρεώσεων</w:t>
            </w:r>
            <w:r w:rsidRPr="0049145A">
              <w:rPr>
                <w:rFonts w:ascii="Arial" w:hAnsi="Arial" w:cs="Arial"/>
                <w:spacing w:val="-6"/>
                <w:sz w:val="18"/>
              </w:rPr>
              <w:t xml:space="preserve"> </w:t>
            </w:r>
            <w:r w:rsidRPr="0049145A">
              <w:rPr>
                <w:rFonts w:ascii="Arial" w:hAnsi="Arial" w:cs="Arial"/>
                <w:spacing w:val="-2"/>
                <w:sz w:val="18"/>
              </w:rPr>
              <w:t>από</w:t>
            </w:r>
            <w:r w:rsidRPr="0049145A">
              <w:rPr>
                <w:rFonts w:ascii="Arial" w:hAnsi="Arial" w:cs="Arial"/>
                <w:spacing w:val="-4"/>
                <w:sz w:val="18"/>
              </w:rPr>
              <w:t xml:space="preserve"> </w:t>
            </w:r>
            <w:r w:rsidRPr="0049145A">
              <w:rPr>
                <w:rFonts w:ascii="Arial" w:hAnsi="Arial" w:cs="Arial"/>
                <w:spacing w:val="-2"/>
                <w:sz w:val="18"/>
              </w:rPr>
              <w:t>μισθώσεις</w:t>
            </w:r>
          </w:p>
        </w:tc>
        <w:tc>
          <w:tcPr>
            <w:tcW w:w="1358" w:type="dxa"/>
            <w:tcBorders>
              <w:left w:val="single" w:sz="2" w:space="0" w:color="808080" w:themeColor="background1" w:themeShade="80"/>
            </w:tcBorders>
            <w:vAlign w:val="center"/>
          </w:tcPr>
          <w:p w14:paraId="3672F219" w14:textId="3CD09072"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(20</w:t>
            </w:r>
            <w:r w:rsidR="00084951">
              <w:rPr>
                <w:rFonts w:ascii="Arial" w:hAnsi="Arial" w:cs="Arial"/>
                <w:color w:val="000000" w:themeColor="text1"/>
                <w:sz w:val="18"/>
                <w:szCs w:val="18"/>
              </w:rPr>
              <w:t>,</w:t>
            </w:r>
            <w:r w:rsidRPr="008B52AE">
              <w:rPr>
                <w:rFonts w:ascii="Arial" w:hAnsi="Arial" w:cs="Arial"/>
                <w:color w:val="000000" w:themeColor="text1"/>
                <w:sz w:val="18"/>
                <w:szCs w:val="18"/>
              </w:rPr>
              <w:t>0)</w:t>
            </w:r>
          </w:p>
        </w:tc>
        <w:tc>
          <w:tcPr>
            <w:tcW w:w="1319" w:type="dxa"/>
            <w:tcBorders>
              <w:right w:val="single" w:sz="2" w:space="0" w:color="808080" w:themeColor="background1" w:themeShade="80"/>
            </w:tcBorders>
            <w:vAlign w:val="center"/>
          </w:tcPr>
          <w:p w14:paraId="72BE835E" w14:textId="0DE0D08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(21</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tcBorders>
              <w:left w:val="single" w:sz="2" w:space="0" w:color="808080" w:themeColor="background1" w:themeShade="80"/>
            </w:tcBorders>
            <w:vAlign w:val="center"/>
          </w:tcPr>
          <w:p w14:paraId="11C2A8A2" w14:textId="0BB4F06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(71</w:t>
            </w:r>
            <w:r w:rsidR="00084951">
              <w:rPr>
                <w:rFonts w:ascii="Arial" w:hAnsi="Arial" w:cs="Arial"/>
                <w:color w:val="000000" w:themeColor="text1"/>
                <w:sz w:val="18"/>
                <w:szCs w:val="18"/>
              </w:rPr>
              <w:t>,</w:t>
            </w:r>
            <w:r w:rsidRPr="008B52AE">
              <w:rPr>
                <w:rFonts w:ascii="Arial" w:hAnsi="Arial" w:cs="Arial"/>
                <w:color w:val="000000" w:themeColor="text1"/>
                <w:sz w:val="18"/>
                <w:szCs w:val="18"/>
              </w:rPr>
              <w:t>6)</w:t>
            </w:r>
          </w:p>
        </w:tc>
        <w:tc>
          <w:tcPr>
            <w:tcW w:w="1411" w:type="dxa"/>
            <w:vAlign w:val="center"/>
          </w:tcPr>
          <w:p w14:paraId="73CC0F83" w14:textId="1AD91813"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(82</w:t>
            </w:r>
            <w:r w:rsidR="00084951">
              <w:rPr>
                <w:rFonts w:ascii="Arial" w:hAnsi="Arial" w:cs="Arial"/>
                <w:color w:val="000000" w:themeColor="text1"/>
                <w:sz w:val="18"/>
                <w:szCs w:val="18"/>
              </w:rPr>
              <w:t>,</w:t>
            </w:r>
            <w:r w:rsidRPr="008B52AE">
              <w:rPr>
                <w:rFonts w:ascii="Arial" w:hAnsi="Arial" w:cs="Arial"/>
                <w:color w:val="000000" w:themeColor="text1"/>
                <w:sz w:val="18"/>
                <w:szCs w:val="18"/>
              </w:rPr>
              <w:t>9)</w:t>
            </w:r>
          </w:p>
        </w:tc>
      </w:tr>
      <w:tr w:rsidR="002306CF" w:rsidRPr="002306CF" w14:paraId="1E9B69D1" w14:textId="77777777" w:rsidTr="00744EE5">
        <w:trPr>
          <w:trHeight w:val="227"/>
        </w:trPr>
        <w:tc>
          <w:tcPr>
            <w:tcW w:w="4978" w:type="dxa"/>
            <w:tcBorders>
              <w:right w:val="single" w:sz="2" w:space="0" w:color="808080" w:themeColor="background1" w:themeShade="80"/>
            </w:tcBorders>
            <w:vAlign w:val="center"/>
          </w:tcPr>
          <w:p w14:paraId="0FCF31BD" w14:textId="6D6E3A23" w:rsidR="002306CF" w:rsidRPr="0049145A" w:rsidRDefault="00C77C79" w:rsidP="002306CF">
            <w:pPr>
              <w:pStyle w:val="ColorfulList-Accent11"/>
              <w:tabs>
                <w:tab w:val="left" w:pos="0"/>
                <w:tab w:val="left" w:pos="284"/>
              </w:tabs>
              <w:ind w:left="0" w:right="-90"/>
              <w:jc w:val="both"/>
              <w:rPr>
                <w:rFonts w:ascii="Arial" w:hAnsi="Arial" w:cs="Arial"/>
                <w:color w:val="FF0000"/>
                <w:sz w:val="18"/>
                <w:lang w:val="el-GR"/>
              </w:rPr>
            </w:pPr>
            <w:r w:rsidRPr="0049145A">
              <w:rPr>
                <w:rFonts w:ascii="Arial" w:hAnsi="Arial" w:cs="Arial"/>
                <w:b/>
                <w:bCs/>
                <w:spacing w:val="-2"/>
                <w:sz w:val="18"/>
                <w:lang w:val="el-GR"/>
              </w:rPr>
              <w:t>Ελεύθερες</w:t>
            </w:r>
            <w:r w:rsidRPr="0049145A">
              <w:rPr>
                <w:rFonts w:ascii="Arial" w:hAnsi="Arial" w:cs="Arial"/>
                <w:b/>
                <w:bCs/>
                <w:spacing w:val="-5"/>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4"/>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4"/>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 μισθώσεις</w:t>
            </w:r>
            <w:r w:rsidRPr="0049145A">
              <w:rPr>
                <w:rFonts w:ascii="Arial" w:hAnsi="Arial" w:cs="Arial"/>
                <w:b/>
                <w:bCs/>
                <w:spacing w:val="-4"/>
                <w:sz w:val="18"/>
                <w:lang w:val="el-GR"/>
              </w:rPr>
              <w:t xml:space="preserve"> (</w:t>
            </w:r>
            <w:r w:rsidRPr="0049145A">
              <w:rPr>
                <w:rFonts w:ascii="Arial" w:hAnsi="Arial" w:cs="Arial"/>
                <w:b/>
                <w:bCs/>
                <w:spacing w:val="-4"/>
                <w:sz w:val="18"/>
              </w:rPr>
              <w:t>AL</w:t>
            </w:r>
            <w:r w:rsidRPr="0049145A">
              <w:rPr>
                <w:rFonts w:ascii="Arial" w:hAnsi="Arial" w:cs="Arial"/>
                <w:b/>
                <w:bCs/>
                <w:spacing w:val="-4"/>
                <w:sz w:val="18"/>
                <w:lang w:val="el-GR"/>
              </w:rPr>
              <w:t>)</w:t>
            </w:r>
          </w:p>
        </w:tc>
        <w:tc>
          <w:tcPr>
            <w:tcW w:w="1358" w:type="dxa"/>
            <w:tcBorders>
              <w:left w:val="single" w:sz="2" w:space="0" w:color="808080" w:themeColor="background1" w:themeShade="80"/>
            </w:tcBorders>
            <w:vAlign w:val="center"/>
          </w:tcPr>
          <w:p w14:paraId="1AB3CABF" w14:textId="06105CBC"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100</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7</w:t>
            </w:r>
          </w:p>
        </w:tc>
        <w:tc>
          <w:tcPr>
            <w:tcW w:w="1319" w:type="dxa"/>
            <w:tcBorders>
              <w:right w:val="single" w:sz="2" w:space="0" w:color="808080" w:themeColor="background1" w:themeShade="80"/>
            </w:tcBorders>
            <w:vAlign w:val="center"/>
          </w:tcPr>
          <w:p w14:paraId="7E75C5DE" w14:textId="06A7E82C"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104</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1</w:t>
            </w:r>
          </w:p>
        </w:tc>
        <w:tc>
          <w:tcPr>
            <w:tcW w:w="1411" w:type="dxa"/>
            <w:tcBorders>
              <w:left w:val="single" w:sz="2" w:space="0" w:color="808080" w:themeColor="background1" w:themeShade="80"/>
            </w:tcBorders>
            <w:vAlign w:val="center"/>
          </w:tcPr>
          <w:p w14:paraId="0734D69B" w14:textId="1676E682"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444</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2</w:t>
            </w:r>
          </w:p>
        </w:tc>
        <w:tc>
          <w:tcPr>
            <w:tcW w:w="1411" w:type="dxa"/>
            <w:vAlign w:val="center"/>
          </w:tcPr>
          <w:p w14:paraId="11199CA7" w14:textId="42988E45"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501</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2</w:t>
            </w:r>
          </w:p>
        </w:tc>
      </w:tr>
      <w:tr w:rsidR="002306CF" w:rsidRPr="002306CF" w14:paraId="082FD96E" w14:textId="77777777" w:rsidTr="00744EE5">
        <w:trPr>
          <w:trHeight w:val="227"/>
        </w:trPr>
        <w:tc>
          <w:tcPr>
            <w:tcW w:w="4978" w:type="dxa"/>
            <w:tcBorders>
              <w:right w:val="single" w:sz="2" w:space="0" w:color="808080" w:themeColor="background1" w:themeShade="80"/>
            </w:tcBorders>
            <w:vAlign w:val="center"/>
          </w:tcPr>
          <w:p w14:paraId="4B3744C7" w14:textId="390E915C"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Καταβολές</w:t>
            </w:r>
            <w:r w:rsidRPr="0049145A">
              <w:rPr>
                <w:rFonts w:ascii="Arial" w:hAnsi="Arial" w:cs="Arial"/>
                <w:spacing w:val="-8"/>
                <w:sz w:val="18"/>
              </w:rPr>
              <w:t xml:space="preserve"> </w:t>
            </w:r>
            <w:r w:rsidRPr="0049145A">
              <w:rPr>
                <w:rFonts w:ascii="Arial" w:hAnsi="Arial" w:cs="Arial"/>
                <w:spacing w:val="-2"/>
                <w:sz w:val="18"/>
              </w:rPr>
              <w:t>προγραμμάτων</w:t>
            </w:r>
            <w:r w:rsidRPr="0049145A">
              <w:rPr>
                <w:rFonts w:ascii="Arial" w:hAnsi="Arial" w:cs="Arial"/>
                <w:spacing w:val="-7"/>
                <w:sz w:val="18"/>
              </w:rPr>
              <w:t xml:space="preserve"> </w:t>
            </w:r>
            <w:r w:rsidRPr="0049145A">
              <w:rPr>
                <w:rFonts w:ascii="Arial" w:hAnsi="Arial" w:cs="Arial"/>
                <w:spacing w:val="-2"/>
                <w:sz w:val="18"/>
              </w:rPr>
              <w:t>εθελούσιας</w:t>
            </w:r>
            <w:r w:rsidRPr="0049145A">
              <w:rPr>
                <w:rFonts w:ascii="Arial" w:hAnsi="Arial" w:cs="Arial"/>
                <w:spacing w:val="-7"/>
                <w:sz w:val="18"/>
              </w:rPr>
              <w:t xml:space="preserve"> </w:t>
            </w:r>
            <w:r w:rsidRPr="0049145A">
              <w:rPr>
                <w:rFonts w:ascii="Arial" w:hAnsi="Arial" w:cs="Arial"/>
                <w:spacing w:val="-2"/>
                <w:sz w:val="18"/>
              </w:rPr>
              <w:t>αποχώρησης</w:t>
            </w:r>
          </w:p>
        </w:tc>
        <w:tc>
          <w:tcPr>
            <w:tcW w:w="1358" w:type="dxa"/>
            <w:tcBorders>
              <w:left w:val="single" w:sz="2" w:space="0" w:color="808080" w:themeColor="background1" w:themeShade="80"/>
            </w:tcBorders>
            <w:vAlign w:val="center"/>
          </w:tcPr>
          <w:p w14:paraId="22565592" w14:textId="3E87D8E7"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7</w:t>
            </w:r>
            <w:r w:rsidR="00084951">
              <w:rPr>
                <w:rFonts w:ascii="Arial" w:hAnsi="Arial" w:cs="Arial"/>
                <w:color w:val="000000" w:themeColor="text1"/>
                <w:sz w:val="18"/>
                <w:szCs w:val="18"/>
              </w:rPr>
              <w:t>,</w:t>
            </w:r>
            <w:r w:rsidR="00C77C79" w:rsidRPr="008B52AE">
              <w:rPr>
                <w:rFonts w:ascii="Arial" w:hAnsi="Arial" w:cs="Arial"/>
                <w:color w:val="000000" w:themeColor="text1"/>
                <w:sz w:val="18"/>
                <w:szCs w:val="18"/>
              </w:rPr>
              <w:t>4</w:t>
            </w:r>
          </w:p>
        </w:tc>
        <w:tc>
          <w:tcPr>
            <w:tcW w:w="1319" w:type="dxa"/>
            <w:tcBorders>
              <w:right w:val="single" w:sz="2" w:space="0" w:color="808080" w:themeColor="background1" w:themeShade="80"/>
            </w:tcBorders>
            <w:vAlign w:val="center"/>
          </w:tcPr>
          <w:p w14:paraId="651D7C42" w14:textId="14719D49"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11</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tcBorders>
              <w:left w:val="single" w:sz="2" w:space="0" w:color="808080" w:themeColor="background1" w:themeShade="80"/>
            </w:tcBorders>
            <w:vAlign w:val="center"/>
          </w:tcPr>
          <w:p w14:paraId="3734CEFD" w14:textId="0903E2B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41</w:t>
            </w:r>
            <w:r w:rsidR="00084951">
              <w:rPr>
                <w:rFonts w:ascii="Arial" w:hAnsi="Arial" w:cs="Arial"/>
                <w:color w:val="000000" w:themeColor="text1"/>
                <w:sz w:val="18"/>
                <w:szCs w:val="18"/>
              </w:rPr>
              <w:t>,</w:t>
            </w:r>
            <w:r w:rsidRPr="008B52AE">
              <w:rPr>
                <w:rFonts w:ascii="Arial" w:hAnsi="Arial" w:cs="Arial"/>
                <w:color w:val="000000" w:themeColor="text1"/>
                <w:sz w:val="18"/>
                <w:szCs w:val="18"/>
              </w:rPr>
              <w:t>5</w:t>
            </w:r>
          </w:p>
        </w:tc>
        <w:tc>
          <w:tcPr>
            <w:tcW w:w="1411" w:type="dxa"/>
            <w:vAlign w:val="center"/>
          </w:tcPr>
          <w:p w14:paraId="7FF57FAC" w14:textId="555D494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39</w:t>
            </w:r>
            <w:r w:rsidR="00084951">
              <w:rPr>
                <w:rFonts w:ascii="Arial" w:hAnsi="Arial" w:cs="Arial"/>
                <w:color w:val="000000" w:themeColor="text1"/>
                <w:sz w:val="18"/>
                <w:szCs w:val="18"/>
              </w:rPr>
              <w:t>,</w:t>
            </w:r>
            <w:r w:rsidRPr="008B52AE">
              <w:rPr>
                <w:rFonts w:ascii="Arial" w:hAnsi="Arial" w:cs="Arial"/>
                <w:color w:val="000000" w:themeColor="text1"/>
                <w:sz w:val="18"/>
                <w:szCs w:val="18"/>
              </w:rPr>
              <w:t>9</w:t>
            </w:r>
          </w:p>
        </w:tc>
      </w:tr>
      <w:tr w:rsidR="002306CF" w:rsidRPr="002306CF" w14:paraId="394BE89F" w14:textId="77777777" w:rsidTr="003E2DCE">
        <w:trPr>
          <w:trHeight w:val="227"/>
        </w:trPr>
        <w:tc>
          <w:tcPr>
            <w:tcW w:w="4978" w:type="dxa"/>
            <w:tcBorders>
              <w:right w:val="single" w:sz="2" w:space="0" w:color="808080" w:themeColor="background1" w:themeShade="80"/>
            </w:tcBorders>
          </w:tcPr>
          <w:p w14:paraId="2EB512D3" w14:textId="754720E2" w:rsidR="002306CF" w:rsidRPr="00284899" w:rsidRDefault="0046250A" w:rsidP="0049145A">
            <w:pPr>
              <w:pStyle w:val="Default"/>
              <w:jc w:val="both"/>
              <w:rPr>
                <w:rFonts w:ascii="Arial" w:hAnsi="Arial" w:cs="Arial"/>
                <w:color w:val="auto"/>
                <w:spacing w:val="-2"/>
                <w:sz w:val="18"/>
                <w:szCs w:val="20"/>
                <w:lang w:val="el-GR" w:eastAsia="en-US"/>
              </w:rPr>
            </w:pPr>
            <w:r w:rsidRPr="00284899">
              <w:rPr>
                <w:rFonts w:ascii="Arial" w:hAnsi="Arial" w:cs="Arial"/>
                <w:color w:val="auto"/>
                <w:spacing w:val="-2"/>
                <w:sz w:val="18"/>
                <w:szCs w:val="20"/>
                <w:lang w:val="el-GR" w:eastAsia="en-US"/>
              </w:rPr>
              <w:t>Καταβολές που σχετίζονται με το φορολογικό έλεγχο της Ρουμανίας για τις χρήσεις 2017-2021</w:t>
            </w:r>
          </w:p>
        </w:tc>
        <w:tc>
          <w:tcPr>
            <w:tcW w:w="1358" w:type="dxa"/>
            <w:tcBorders>
              <w:left w:val="single" w:sz="2" w:space="0" w:color="808080" w:themeColor="background1" w:themeShade="80"/>
            </w:tcBorders>
            <w:vAlign w:val="center"/>
          </w:tcPr>
          <w:p w14:paraId="739FF587" w14:textId="6C8454C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19</w:t>
            </w:r>
            <w:r w:rsidR="00084951">
              <w:rPr>
                <w:rFonts w:ascii="Arial" w:hAnsi="Arial" w:cs="Arial"/>
                <w:color w:val="000000" w:themeColor="text1"/>
                <w:sz w:val="18"/>
                <w:szCs w:val="18"/>
              </w:rPr>
              <w:t>,</w:t>
            </w:r>
            <w:r w:rsidRPr="008B52AE">
              <w:rPr>
                <w:rFonts w:ascii="Arial" w:hAnsi="Arial" w:cs="Arial"/>
                <w:color w:val="000000" w:themeColor="text1"/>
                <w:sz w:val="18"/>
                <w:szCs w:val="18"/>
              </w:rPr>
              <w:t>7</w:t>
            </w:r>
          </w:p>
        </w:tc>
        <w:tc>
          <w:tcPr>
            <w:tcW w:w="1319" w:type="dxa"/>
            <w:tcBorders>
              <w:right w:val="single" w:sz="2" w:space="0" w:color="808080" w:themeColor="background1" w:themeShade="80"/>
            </w:tcBorders>
            <w:vAlign w:val="center"/>
          </w:tcPr>
          <w:p w14:paraId="5A9B23D1" w14:textId="3ECB12BA"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c>
          <w:tcPr>
            <w:tcW w:w="1411" w:type="dxa"/>
            <w:tcBorders>
              <w:left w:val="single" w:sz="2" w:space="0" w:color="808080" w:themeColor="background1" w:themeShade="80"/>
            </w:tcBorders>
            <w:vAlign w:val="center"/>
          </w:tcPr>
          <w:p w14:paraId="0CB9F8CC" w14:textId="3DD96F26"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19</w:t>
            </w:r>
            <w:r w:rsidR="00084951">
              <w:rPr>
                <w:rFonts w:ascii="Arial" w:hAnsi="Arial" w:cs="Arial"/>
                <w:color w:val="000000" w:themeColor="text1"/>
                <w:sz w:val="18"/>
                <w:szCs w:val="18"/>
              </w:rPr>
              <w:t>,</w:t>
            </w:r>
            <w:r>
              <w:rPr>
                <w:rFonts w:ascii="Arial" w:hAnsi="Arial" w:cs="Arial"/>
                <w:color w:val="000000" w:themeColor="text1"/>
                <w:sz w:val="18"/>
                <w:szCs w:val="18"/>
              </w:rPr>
              <w:t>7</w:t>
            </w:r>
          </w:p>
        </w:tc>
        <w:tc>
          <w:tcPr>
            <w:tcW w:w="1411" w:type="dxa"/>
            <w:vAlign w:val="center"/>
          </w:tcPr>
          <w:p w14:paraId="558A64DA" w14:textId="29C01FD9"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r>
      <w:tr w:rsidR="00C77C79" w:rsidRPr="00C77C79" w14:paraId="3D8F864E" w14:textId="77777777" w:rsidTr="003E2DCE">
        <w:trPr>
          <w:trHeight w:val="227"/>
        </w:trPr>
        <w:tc>
          <w:tcPr>
            <w:tcW w:w="4978" w:type="dxa"/>
            <w:tcBorders>
              <w:right w:val="single" w:sz="2" w:space="0" w:color="808080" w:themeColor="background1" w:themeShade="80"/>
            </w:tcBorders>
          </w:tcPr>
          <w:p w14:paraId="2259400A" w14:textId="10C46967" w:rsidR="00C77C79" w:rsidRPr="00284899" w:rsidRDefault="0046250A" w:rsidP="00920BD0">
            <w:pPr>
              <w:pStyle w:val="Default"/>
              <w:jc w:val="both"/>
              <w:rPr>
                <w:rFonts w:ascii="Arial" w:hAnsi="Arial" w:cs="Arial"/>
                <w:color w:val="auto"/>
                <w:spacing w:val="-2"/>
                <w:sz w:val="18"/>
                <w:szCs w:val="20"/>
                <w:lang w:val="el-GR" w:eastAsia="en-US"/>
              </w:rPr>
            </w:pPr>
            <w:r w:rsidRPr="00284899">
              <w:rPr>
                <w:rFonts w:ascii="Arial" w:hAnsi="Arial" w:cs="Arial"/>
                <w:color w:val="auto"/>
                <w:spacing w:val="-2"/>
                <w:sz w:val="18"/>
                <w:szCs w:val="20"/>
                <w:lang w:val="el-GR" w:eastAsia="en-US"/>
              </w:rPr>
              <w:t>Καταβολές φόρου εισοδήματος που σχετίζονται με το φορολογικό έλεγχο της Ρουμανίας για τις χρήσεις 2017-2021</w:t>
            </w:r>
          </w:p>
        </w:tc>
        <w:tc>
          <w:tcPr>
            <w:tcW w:w="1358" w:type="dxa"/>
            <w:tcBorders>
              <w:left w:val="single" w:sz="2" w:space="0" w:color="808080" w:themeColor="background1" w:themeShade="80"/>
            </w:tcBorders>
            <w:vAlign w:val="center"/>
          </w:tcPr>
          <w:p w14:paraId="54FA9700" w14:textId="16F8EB18"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sidRPr="008B52AE">
              <w:rPr>
                <w:rFonts w:ascii="Arial" w:hAnsi="Arial" w:cs="Arial"/>
                <w:color w:val="000000" w:themeColor="text1"/>
                <w:sz w:val="18"/>
                <w:szCs w:val="18"/>
              </w:rPr>
              <w:t>13</w:t>
            </w:r>
            <w:r w:rsidR="00084951">
              <w:rPr>
                <w:rFonts w:ascii="Arial" w:hAnsi="Arial" w:cs="Arial"/>
                <w:color w:val="000000" w:themeColor="text1"/>
                <w:sz w:val="18"/>
                <w:szCs w:val="18"/>
              </w:rPr>
              <w:t>,</w:t>
            </w:r>
            <w:r w:rsidRPr="008B52AE">
              <w:rPr>
                <w:rFonts w:ascii="Arial" w:hAnsi="Arial" w:cs="Arial"/>
                <w:color w:val="000000" w:themeColor="text1"/>
                <w:sz w:val="18"/>
                <w:szCs w:val="18"/>
              </w:rPr>
              <w:t>8</w:t>
            </w:r>
          </w:p>
        </w:tc>
        <w:tc>
          <w:tcPr>
            <w:tcW w:w="1319" w:type="dxa"/>
            <w:tcBorders>
              <w:right w:val="single" w:sz="2" w:space="0" w:color="808080" w:themeColor="background1" w:themeShade="80"/>
            </w:tcBorders>
            <w:vAlign w:val="center"/>
          </w:tcPr>
          <w:p w14:paraId="2C7FACE6" w14:textId="73181A45"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w:t>
            </w:r>
          </w:p>
        </w:tc>
        <w:tc>
          <w:tcPr>
            <w:tcW w:w="1411" w:type="dxa"/>
            <w:tcBorders>
              <w:left w:val="single" w:sz="2" w:space="0" w:color="808080" w:themeColor="background1" w:themeShade="80"/>
            </w:tcBorders>
            <w:vAlign w:val="center"/>
          </w:tcPr>
          <w:p w14:paraId="3918BB7D" w14:textId="0014C4E2"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sidRPr="008B52AE">
              <w:rPr>
                <w:rFonts w:ascii="Arial" w:hAnsi="Arial" w:cs="Arial"/>
                <w:color w:val="000000" w:themeColor="text1"/>
                <w:sz w:val="18"/>
                <w:szCs w:val="18"/>
              </w:rPr>
              <w:t>13</w:t>
            </w:r>
            <w:r w:rsidR="00084951">
              <w:rPr>
                <w:rFonts w:ascii="Arial" w:hAnsi="Arial" w:cs="Arial"/>
                <w:color w:val="000000" w:themeColor="text1"/>
                <w:sz w:val="18"/>
                <w:szCs w:val="18"/>
              </w:rPr>
              <w:t>,</w:t>
            </w:r>
            <w:r w:rsidRPr="008B52AE">
              <w:rPr>
                <w:rFonts w:ascii="Arial" w:hAnsi="Arial" w:cs="Arial"/>
                <w:color w:val="000000" w:themeColor="text1"/>
                <w:sz w:val="18"/>
                <w:szCs w:val="18"/>
              </w:rPr>
              <w:t>8</w:t>
            </w:r>
          </w:p>
        </w:tc>
        <w:tc>
          <w:tcPr>
            <w:tcW w:w="1411" w:type="dxa"/>
            <w:vAlign w:val="center"/>
          </w:tcPr>
          <w:p w14:paraId="04DD6C47" w14:textId="778ED9EA"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w:t>
            </w:r>
          </w:p>
        </w:tc>
      </w:tr>
      <w:tr w:rsidR="00C77C79" w:rsidRPr="002306CF" w14:paraId="0ACE4F63" w14:textId="77777777" w:rsidTr="003E2DCE">
        <w:trPr>
          <w:trHeight w:val="227"/>
        </w:trPr>
        <w:tc>
          <w:tcPr>
            <w:tcW w:w="4978" w:type="dxa"/>
            <w:tcBorders>
              <w:right w:val="single" w:sz="2" w:space="0" w:color="808080" w:themeColor="background1" w:themeShade="80"/>
            </w:tcBorders>
            <w:vAlign w:val="center"/>
          </w:tcPr>
          <w:p w14:paraId="284B2ACE" w14:textId="1855D0DF" w:rsidR="00C77C79" w:rsidRPr="0049145A" w:rsidRDefault="00C77C79" w:rsidP="00C77C79">
            <w:pPr>
              <w:pStyle w:val="ColorfulList-Accent11"/>
              <w:tabs>
                <w:tab w:val="left" w:pos="0"/>
                <w:tab w:val="left" w:pos="284"/>
              </w:tabs>
              <w:ind w:left="0" w:right="-90"/>
              <w:jc w:val="both"/>
              <w:rPr>
                <w:rFonts w:ascii="Arial" w:hAnsi="Arial" w:cs="Arial"/>
                <w:spacing w:val="-2"/>
                <w:sz w:val="18"/>
              </w:rPr>
            </w:pPr>
            <w:r w:rsidRPr="0049145A">
              <w:rPr>
                <w:rFonts w:ascii="Arial" w:hAnsi="Arial" w:cs="Arial"/>
                <w:spacing w:val="-2"/>
                <w:sz w:val="18"/>
              </w:rPr>
              <w:t>Καταβολές</w:t>
            </w:r>
            <w:r w:rsidRPr="0049145A">
              <w:rPr>
                <w:rFonts w:ascii="Arial" w:hAnsi="Arial" w:cs="Arial"/>
                <w:spacing w:val="-7"/>
                <w:sz w:val="18"/>
              </w:rPr>
              <w:t xml:space="preserve"> </w:t>
            </w:r>
            <w:r w:rsidRPr="0049145A">
              <w:rPr>
                <w:rFonts w:ascii="Arial" w:hAnsi="Arial" w:cs="Arial"/>
                <w:spacing w:val="-2"/>
                <w:sz w:val="18"/>
              </w:rPr>
              <w:t>λοιπών</w:t>
            </w:r>
            <w:r w:rsidRPr="0049145A">
              <w:rPr>
                <w:rFonts w:ascii="Arial" w:hAnsi="Arial" w:cs="Arial"/>
                <w:spacing w:val="-7"/>
                <w:sz w:val="18"/>
              </w:rPr>
              <w:t xml:space="preserve"> </w:t>
            </w:r>
            <w:r w:rsidRPr="0049145A">
              <w:rPr>
                <w:rFonts w:ascii="Arial" w:hAnsi="Arial" w:cs="Arial"/>
                <w:spacing w:val="-2"/>
                <w:sz w:val="18"/>
              </w:rPr>
              <w:t>εξόδων</w:t>
            </w:r>
            <w:r w:rsidRPr="0049145A">
              <w:rPr>
                <w:rFonts w:ascii="Arial" w:hAnsi="Arial" w:cs="Arial"/>
                <w:spacing w:val="-7"/>
                <w:sz w:val="18"/>
              </w:rPr>
              <w:t xml:space="preserve"> </w:t>
            </w:r>
            <w:r w:rsidRPr="0049145A">
              <w:rPr>
                <w:rFonts w:ascii="Arial" w:hAnsi="Arial" w:cs="Arial"/>
                <w:spacing w:val="-2"/>
                <w:sz w:val="18"/>
              </w:rPr>
              <w:t>αναδιοργάνωσης</w:t>
            </w:r>
          </w:p>
        </w:tc>
        <w:tc>
          <w:tcPr>
            <w:tcW w:w="1358" w:type="dxa"/>
            <w:tcBorders>
              <w:left w:val="single" w:sz="2" w:space="0" w:color="808080" w:themeColor="background1" w:themeShade="80"/>
            </w:tcBorders>
            <w:vAlign w:val="center"/>
          </w:tcPr>
          <w:p w14:paraId="66B5F068" w14:textId="3E4ACD09"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rPr>
              <w:t>-</w:t>
            </w:r>
          </w:p>
        </w:tc>
        <w:tc>
          <w:tcPr>
            <w:tcW w:w="1319" w:type="dxa"/>
            <w:tcBorders>
              <w:right w:val="single" w:sz="2" w:space="0" w:color="808080" w:themeColor="background1" w:themeShade="80"/>
            </w:tcBorders>
            <w:vAlign w:val="center"/>
          </w:tcPr>
          <w:p w14:paraId="6CD4C23C" w14:textId="03F4C332"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rPr>
              <w:t>0</w:t>
            </w:r>
            <w:r w:rsidR="00084951">
              <w:rPr>
                <w:rFonts w:ascii="Arial" w:hAnsi="Arial" w:cs="Arial"/>
                <w:color w:val="000000" w:themeColor="text1"/>
                <w:sz w:val="18"/>
              </w:rPr>
              <w:t>,</w:t>
            </w:r>
            <w:r>
              <w:rPr>
                <w:rFonts w:ascii="Arial" w:hAnsi="Arial" w:cs="Arial"/>
                <w:color w:val="000000" w:themeColor="text1"/>
                <w:sz w:val="18"/>
              </w:rPr>
              <w:t>8</w:t>
            </w:r>
          </w:p>
        </w:tc>
        <w:tc>
          <w:tcPr>
            <w:tcW w:w="1411" w:type="dxa"/>
            <w:tcBorders>
              <w:left w:val="single" w:sz="2" w:space="0" w:color="808080" w:themeColor="background1" w:themeShade="80"/>
            </w:tcBorders>
            <w:vAlign w:val="center"/>
          </w:tcPr>
          <w:p w14:paraId="392C6CB0" w14:textId="3C6F728E"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3</w:t>
            </w:r>
            <w:r w:rsidR="00084951">
              <w:rPr>
                <w:rFonts w:ascii="Arial" w:hAnsi="Arial" w:cs="Arial"/>
                <w:color w:val="000000" w:themeColor="text1"/>
                <w:sz w:val="18"/>
                <w:szCs w:val="18"/>
              </w:rPr>
              <w:t>,</w:t>
            </w:r>
            <w:r>
              <w:rPr>
                <w:rFonts w:ascii="Arial" w:hAnsi="Arial" w:cs="Arial"/>
                <w:color w:val="000000" w:themeColor="text1"/>
                <w:sz w:val="18"/>
                <w:szCs w:val="18"/>
              </w:rPr>
              <w:t>3</w:t>
            </w:r>
          </w:p>
        </w:tc>
        <w:tc>
          <w:tcPr>
            <w:tcW w:w="1411" w:type="dxa"/>
            <w:vAlign w:val="center"/>
          </w:tcPr>
          <w:p w14:paraId="78525D32" w14:textId="4C95AE7D"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2</w:t>
            </w:r>
            <w:r w:rsidR="00084951">
              <w:rPr>
                <w:rFonts w:ascii="Arial" w:hAnsi="Arial" w:cs="Arial"/>
                <w:color w:val="000000" w:themeColor="text1"/>
                <w:sz w:val="18"/>
                <w:szCs w:val="18"/>
              </w:rPr>
              <w:t>,</w:t>
            </w:r>
            <w:r>
              <w:rPr>
                <w:rFonts w:ascii="Arial" w:hAnsi="Arial" w:cs="Arial"/>
                <w:color w:val="000000" w:themeColor="text1"/>
                <w:sz w:val="18"/>
                <w:szCs w:val="18"/>
              </w:rPr>
              <w:t>4</w:t>
            </w:r>
          </w:p>
        </w:tc>
      </w:tr>
      <w:tr w:rsidR="002306CF" w:rsidRPr="002306CF" w14:paraId="531BAA40" w14:textId="77777777" w:rsidTr="00744EE5">
        <w:trPr>
          <w:trHeight w:val="227"/>
        </w:trPr>
        <w:tc>
          <w:tcPr>
            <w:tcW w:w="4978" w:type="dxa"/>
            <w:tcBorders>
              <w:right w:val="single" w:sz="2" w:space="0" w:color="808080" w:themeColor="background1" w:themeShade="80"/>
            </w:tcBorders>
            <w:vAlign w:val="center"/>
          </w:tcPr>
          <w:p w14:paraId="3027E50B" w14:textId="21ADD831"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Καταβολές</w:t>
            </w:r>
            <w:r w:rsidRPr="0049145A">
              <w:rPr>
                <w:rFonts w:ascii="Arial" w:hAnsi="Arial" w:cs="Arial"/>
                <w:spacing w:val="-6"/>
                <w:sz w:val="18"/>
              </w:rPr>
              <w:t xml:space="preserve"> </w:t>
            </w:r>
            <w:r w:rsidRPr="0049145A">
              <w:rPr>
                <w:rFonts w:ascii="Arial" w:hAnsi="Arial" w:cs="Arial"/>
                <w:spacing w:val="-2"/>
                <w:sz w:val="18"/>
              </w:rPr>
              <w:t>για</w:t>
            </w:r>
            <w:r w:rsidRPr="0049145A">
              <w:rPr>
                <w:rFonts w:ascii="Arial" w:hAnsi="Arial" w:cs="Arial"/>
                <w:spacing w:val="-5"/>
                <w:sz w:val="18"/>
              </w:rPr>
              <w:t xml:space="preserve"> </w:t>
            </w:r>
            <w:r w:rsidRPr="0049145A">
              <w:rPr>
                <w:rFonts w:ascii="Arial" w:hAnsi="Arial" w:cs="Arial"/>
                <w:spacing w:val="-2"/>
                <w:sz w:val="18"/>
              </w:rPr>
              <w:t>αγορά</w:t>
            </w:r>
            <w:r w:rsidRPr="0049145A">
              <w:rPr>
                <w:rFonts w:ascii="Arial" w:hAnsi="Arial" w:cs="Arial"/>
                <w:spacing w:val="-5"/>
                <w:sz w:val="18"/>
              </w:rPr>
              <w:t xml:space="preserve"> </w:t>
            </w:r>
            <w:r w:rsidRPr="0049145A">
              <w:rPr>
                <w:rFonts w:ascii="Arial" w:hAnsi="Arial" w:cs="Arial"/>
                <w:spacing w:val="-2"/>
                <w:sz w:val="18"/>
              </w:rPr>
              <w:t>φάσματος</w:t>
            </w:r>
          </w:p>
        </w:tc>
        <w:tc>
          <w:tcPr>
            <w:tcW w:w="1358" w:type="dxa"/>
            <w:tcBorders>
              <w:left w:val="single" w:sz="2" w:space="0" w:color="808080" w:themeColor="background1" w:themeShade="80"/>
            </w:tcBorders>
            <w:vAlign w:val="center"/>
          </w:tcPr>
          <w:p w14:paraId="058AA334" w14:textId="600B9F01"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rPr>
              <w:t>-</w:t>
            </w:r>
          </w:p>
        </w:tc>
        <w:tc>
          <w:tcPr>
            <w:tcW w:w="1319" w:type="dxa"/>
            <w:tcBorders>
              <w:right w:val="single" w:sz="2" w:space="0" w:color="808080" w:themeColor="background1" w:themeShade="80"/>
            </w:tcBorders>
            <w:vAlign w:val="center"/>
          </w:tcPr>
          <w:p w14:paraId="32A3AAF4" w14:textId="38DFC3C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rPr>
              <w:t>-</w:t>
            </w:r>
          </w:p>
        </w:tc>
        <w:tc>
          <w:tcPr>
            <w:tcW w:w="1411" w:type="dxa"/>
            <w:tcBorders>
              <w:left w:val="single" w:sz="2" w:space="0" w:color="808080" w:themeColor="background1" w:themeShade="80"/>
            </w:tcBorders>
            <w:vAlign w:val="center"/>
          </w:tcPr>
          <w:p w14:paraId="4BE21ACC" w14:textId="7B677286"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c>
          <w:tcPr>
            <w:tcW w:w="1411" w:type="dxa"/>
            <w:vAlign w:val="center"/>
          </w:tcPr>
          <w:p w14:paraId="3C2ADAE0" w14:textId="4AA183D4"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r>
      <w:tr w:rsidR="002306CF" w:rsidRPr="002306CF" w14:paraId="457D7CA5" w14:textId="77777777" w:rsidTr="00744EE5">
        <w:trPr>
          <w:trHeight w:val="357"/>
        </w:trPr>
        <w:tc>
          <w:tcPr>
            <w:tcW w:w="4978" w:type="dxa"/>
            <w:tcBorders>
              <w:right w:val="single" w:sz="2" w:space="0" w:color="808080" w:themeColor="background1" w:themeShade="80"/>
            </w:tcBorders>
            <w:shd w:val="clear" w:color="auto" w:fill="F2F2F2" w:themeFill="background1" w:themeFillShade="F2"/>
            <w:vAlign w:val="center"/>
          </w:tcPr>
          <w:p w14:paraId="0E26156F" w14:textId="2082D611" w:rsidR="002306CF" w:rsidRPr="0049145A" w:rsidRDefault="00C77C79" w:rsidP="00744EE5">
            <w:pPr>
              <w:pStyle w:val="ColorfulList-Accent11"/>
              <w:tabs>
                <w:tab w:val="left" w:pos="0"/>
                <w:tab w:val="left" w:pos="284"/>
              </w:tabs>
              <w:ind w:left="0" w:right="-90"/>
              <w:jc w:val="both"/>
              <w:rPr>
                <w:rFonts w:ascii="Arial" w:hAnsi="Arial" w:cs="Arial"/>
                <w:i/>
                <w:color w:val="FF0000"/>
                <w:sz w:val="18"/>
                <w:lang w:val="el-GR"/>
              </w:rPr>
            </w:pPr>
            <w:r w:rsidRPr="0049145A">
              <w:rPr>
                <w:rFonts w:ascii="Arial" w:hAnsi="Arial" w:cs="Arial"/>
                <w:b/>
                <w:bCs/>
                <w:spacing w:val="-2"/>
                <w:sz w:val="18"/>
                <w:lang w:val="el-GR"/>
              </w:rPr>
              <w:t>Προσαρμοσμένες</w:t>
            </w:r>
            <w:r w:rsidRPr="0049145A">
              <w:rPr>
                <w:rFonts w:ascii="Arial" w:hAnsi="Arial" w:cs="Arial"/>
                <w:b/>
                <w:bCs/>
                <w:spacing w:val="-4"/>
                <w:sz w:val="18"/>
                <w:lang w:val="el-GR"/>
              </w:rPr>
              <w:t xml:space="preserve"> </w:t>
            </w:r>
            <w:r w:rsidRPr="0049145A">
              <w:rPr>
                <w:rFonts w:ascii="Arial" w:hAnsi="Arial" w:cs="Arial"/>
                <w:b/>
                <w:bCs/>
                <w:spacing w:val="-2"/>
                <w:sz w:val="18"/>
                <w:lang w:val="el-GR"/>
              </w:rPr>
              <w:t>Ελεύθερες</w:t>
            </w:r>
            <w:r w:rsidRPr="0049145A">
              <w:rPr>
                <w:rFonts w:ascii="Arial" w:hAnsi="Arial" w:cs="Arial"/>
                <w:b/>
                <w:bCs/>
                <w:spacing w:val="-3"/>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5"/>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6"/>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w:t>
            </w:r>
            <w:r w:rsidRPr="0049145A">
              <w:rPr>
                <w:rFonts w:ascii="Arial" w:hAnsi="Arial" w:cs="Arial"/>
                <w:b/>
                <w:bCs/>
                <w:spacing w:val="-6"/>
                <w:sz w:val="18"/>
                <w:lang w:val="el-GR"/>
              </w:rPr>
              <w:t xml:space="preserve"> </w:t>
            </w:r>
            <w:r w:rsidRPr="0049145A">
              <w:rPr>
                <w:rFonts w:ascii="Arial" w:hAnsi="Arial" w:cs="Arial"/>
                <w:b/>
                <w:bCs/>
                <w:spacing w:val="-2"/>
                <w:sz w:val="18"/>
                <w:lang w:val="el-GR"/>
              </w:rPr>
              <w:t>μισθώσεις</w:t>
            </w:r>
            <w:r w:rsidRPr="0049145A">
              <w:rPr>
                <w:rFonts w:ascii="Arial" w:hAnsi="Arial" w:cs="Arial"/>
                <w:b/>
                <w:bCs/>
                <w:spacing w:val="-5"/>
                <w:sz w:val="18"/>
                <w:lang w:val="el-GR"/>
              </w:rPr>
              <w:t xml:space="preserve"> </w:t>
            </w:r>
            <w:r w:rsidRPr="0049145A">
              <w:rPr>
                <w:rFonts w:ascii="Arial" w:hAnsi="Arial" w:cs="Arial"/>
                <w:b/>
                <w:bCs/>
                <w:spacing w:val="-4"/>
                <w:sz w:val="18"/>
                <w:lang w:val="el-GR"/>
              </w:rPr>
              <w:t>(</w:t>
            </w:r>
            <w:r w:rsidRPr="0049145A">
              <w:rPr>
                <w:rFonts w:ascii="Arial" w:hAnsi="Arial" w:cs="Arial"/>
                <w:b/>
                <w:bCs/>
                <w:spacing w:val="-4"/>
                <w:sz w:val="18"/>
              </w:rPr>
              <w:t>AL</w:t>
            </w:r>
            <w:r w:rsidRPr="0049145A">
              <w:rPr>
                <w:rFonts w:ascii="Arial" w:hAnsi="Arial" w:cs="Arial"/>
                <w:b/>
                <w:bCs/>
                <w:spacing w:val="-4"/>
                <w:sz w:val="18"/>
                <w:lang w:val="el-GR"/>
              </w:rPr>
              <w:t>)</w:t>
            </w:r>
          </w:p>
        </w:tc>
        <w:tc>
          <w:tcPr>
            <w:tcW w:w="135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110556" w14:textId="1CF0ADAC" w:rsidR="002306CF" w:rsidRPr="002306CF" w:rsidRDefault="002306CF" w:rsidP="00744EE5">
            <w:pPr>
              <w:pStyle w:val="ColorfulList-Accent11"/>
              <w:tabs>
                <w:tab w:val="left" w:pos="0"/>
                <w:tab w:val="left" w:pos="284"/>
              </w:tabs>
              <w:ind w:left="0" w:right="-90"/>
              <w:jc w:val="center"/>
              <w:rPr>
                <w:rFonts w:ascii="Arial" w:hAnsi="Arial" w:cs="Arial"/>
                <w:i/>
                <w:color w:val="FF0000"/>
                <w:sz w:val="18"/>
              </w:rPr>
            </w:pPr>
            <w:r w:rsidRPr="008B52AE">
              <w:rPr>
                <w:rFonts w:ascii="Arial" w:hAnsi="Arial" w:cs="Arial"/>
                <w:b/>
                <w:color w:val="000000" w:themeColor="text1"/>
                <w:sz w:val="18"/>
                <w:szCs w:val="18"/>
              </w:rPr>
              <w:t>141</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6</w:t>
            </w:r>
          </w:p>
        </w:tc>
        <w:tc>
          <w:tcPr>
            <w:tcW w:w="1319"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68F0E" w14:textId="2ADDCD03" w:rsidR="002306CF" w:rsidRPr="002306CF" w:rsidRDefault="002306CF" w:rsidP="00744EE5">
            <w:pPr>
              <w:pStyle w:val="ColorfulList-Accent11"/>
              <w:tabs>
                <w:tab w:val="left" w:pos="0"/>
                <w:tab w:val="left" w:pos="284"/>
              </w:tabs>
              <w:ind w:left="0" w:right="-90"/>
              <w:jc w:val="center"/>
              <w:rPr>
                <w:rFonts w:ascii="Arial" w:hAnsi="Arial" w:cs="Arial"/>
                <w:i/>
                <w:color w:val="FF0000"/>
                <w:sz w:val="18"/>
              </w:rPr>
            </w:pPr>
            <w:r w:rsidRPr="008B52AE">
              <w:rPr>
                <w:rFonts w:ascii="Arial" w:hAnsi="Arial" w:cs="Arial"/>
                <w:b/>
                <w:color w:val="000000" w:themeColor="text1"/>
                <w:sz w:val="18"/>
                <w:szCs w:val="18"/>
              </w:rPr>
              <w:t>116</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1</w:t>
            </w:r>
          </w:p>
        </w:tc>
        <w:tc>
          <w:tcPr>
            <w:tcW w:w="1411" w:type="dxa"/>
            <w:tcBorders>
              <w:left w:val="single" w:sz="2" w:space="0" w:color="808080" w:themeColor="background1" w:themeShade="80"/>
            </w:tcBorders>
            <w:shd w:val="clear" w:color="auto" w:fill="F2F2F2" w:themeFill="background1" w:themeFillShade="F2"/>
            <w:vAlign w:val="center"/>
          </w:tcPr>
          <w:p w14:paraId="34AAEB9F" w14:textId="43C92D43" w:rsidR="002306CF" w:rsidRPr="002306CF" w:rsidRDefault="002306CF" w:rsidP="00744EE5">
            <w:pPr>
              <w:pStyle w:val="ColorfulList-Accent11"/>
              <w:tabs>
                <w:tab w:val="left" w:pos="0"/>
                <w:tab w:val="left" w:pos="284"/>
              </w:tabs>
              <w:ind w:left="0" w:right="-90"/>
              <w:jc w:val="center"/>
              <w:rPr>
                <w:rFonts w:ascii="Arial" w:hAnsi="Arial" w:cs="Arial"/>
                <w:b/>
                <w:color w:val="FF0000"/>
                <w:sz w:val="18"/>
                <w:szCs w:val="18"/>
              </w:rPr>
            </w:pPr>
            <w:r w:rsidRPr="008B52AE">
              <w:rPr>
                <w:rFonts w:ascii="Arial" w:hAnsi="Arial" w:cs="Arial"/>
                <w:b/>
                <w:color w:val="000000" w:themeColor="text1"/>
                <w:sz w:val="18"/>
                <w:szCs w:val="18"/>
              </w:rPr>
              <w:t>522</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5</w:t>
            </w:r>
          </w:p>
        </w:tc>
        <w:tc>
          <w:tcPr>
            <w:tcW w:w="1411" w:type="dxa"/>
            <w:shd w:val="clear" w:color="auto" w:fill="F2F2F2" w:themeFill="background1" w:themeFillShade="F2"/>
            <w:vAlign w:val="center"/>
          </w:tcPr>
          <w:p w14:paraId="1C1DFCF1" w14:textId="2AF6B90C" w:rsidR="002306CF" w:rsidRPr="002306CF" w:rsidRDefault="002306CF" w:rsidP="00744EE5">
            <w:pPr>
              <w:pStyle w:val="ColorfulList-Accent11"/>
              <w:tabs>
                <w:tab w:val="left" w:pos="0"/>
                <w:tab w:val="left" w:pos="284"/>
              </w:tabs>
              <w:ind w:left="0" w:right="-90"/>
              <w:jc w:val="center"/>
              <w:rPr>
                <w:rFonts w:ascii="Arial" w:hAnsi="Arial" w:cs="Arial"/>
                <w:b/>
                <w:color w:val="FF0000"/>
                <w:sz w:val="18"/>
                <w:szCs w:val="18"/>
              </w:rPr>
            </w:pPr>
            <w:r w:rsidRPr="008B52AE">
              <w:rPr>
                <w:rFonts w:ascii="Arial" w:hAnsi="Arial" w:cs="Arial"/>
                <w:b/>
                <w:color w:val="000000" w:themeColor="text1"/>
                <w:sz w:val="18"/>
                <w:szCs w:val="18"/>
              </w:rPr>
              <w:t>543</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5</w:t>
            </w:r>
          </w:p>
        </w:tc>
      </w:tr>
    </w:tbl>
    <w:p w14:paraId="224C0D07" w14:textId="77777777" w:rsidR="002306CF" w:rsidRDefault="002306CF" w:rsidP="00386EA0">
      <w:pPr>
        <w:spacing w:after="0" w:line="240" w:lineRule="auto"/>
        <w:jc w:val="both"/>
        <w:rPr>
          <w:rFonts w:ascii="Arial" w:eastAsia="Times New Roman" w:hAnsi="Arial" w:cs="Arial"/>
          <w:b/>
          <w:color w:val="004B87"/>
        </w:rPr>
      </w:pPr>
    </w:p>
    <w:p w14:paraId="454AC7E5" w14:textId="77777777" w:rsidR="002306CF" w:rsidRDefault="002306CF" w:rsidP="00386EA0">
      <w:pPr>
        <w:spacing w:after="0" w:line="240" w:lineRule="auto"/>
        <w:jc w:val="both"/>
        <w:rPr>
          <w:rFonts w:ascii="Arial" w:eastAsia="Times New Roman" w:hAnsi="Arial" w:cs="Arial"/>
          <w:b/>
          <w:color w:val="004B87"/>
        </w:rPr>
      </w:pPr>
    </w:p>
    <w:p w14:paraId="112E22D7" w14:textId="77777777" w:rsidR="002306CF" w:rsidRDefault="002306CF" w:rsidP="00386EA0">
      <w:pPr>
        <w:spacing w:after="0" w:line="240" w:lineRule="auto"/>
        <w:jc w:val="both"/>
        <w:rPr>
          <w:rFonts w:ascii="Arial" w:eastAsia="Times New Roman" w:hAnsi="Arial" w:cs="Arial"/>
          <w:b/>
          <w:color w:val="004B87"/>
        </w:rPr>
      </w:pPr>
    </w:p>
    <w:p w14:paraId="10D4295B" w14:textId="77777777" w:rsidR="002306CF" w:rsidRDefault="002306CF" w:rsidP="00386EA0">
      <w:pPr>
        <w:spacing w:after="0" w:line="240" w:lineRule="auto"/>
        <w:jc w:val="both"/>
        <w:rPr>
          <w:rFonts w:ascii="Arial" w:eastAsia="Times New Roman" w:hAnsi="Arial" w:cs="Arial"/>
          <w:b/>
          <w:color w:val="004B87"/>
        </w:rPr>
      </w:pPr>
    </w:p>
    <w:p w14:paraId="4B419499" w14:textId="77777777" w:rsidR="002306CF" w:rsidRDefault="002306CF" w:rsidP="00386EA0">
      <w:pPr>
        <w:spacing w:after="0" w:line="240" w:lineRule="auto"/>
        <w:jc w:val="both"/>
        <w:rPr>
          <w:rFonts w:ascii="Arial" w:eastAsia="Times New Roman" w:hAnsi="Arial" w:cs="Arial"/>
          <w:b/>
          <w:color w:val="004B87"/>
        </w:rPr>
      </w:pPr>
    </w:p>
    <w:p w14:paraId="33E5FA38" w14:textId="77777777" w:rsidR="002306CF" w:rsidRDefault="002306CF" w:rsidP="00386EA0">
      <w:pPr>
        <w:spacing w:after="0" w:line="240" w:lineRule="auto"/>
        <w:jc w:val="both"/>
        <w:rPr>
          <w:rFonts w:ascii="Arial" w:eastAsia="Times New Roman" w:hAnsi="Arial" w:cs="Arial"/>
          <w:b/>
          <w:color w:val="004B87"/>
        </w:rPr>
      </w:pPr>
    </w:p>
    <w:p w14:paraId="7189225D" w14:textId="77777777" w:rsidR="003E2DCE" w:rsidRDefault="003E2DCE">
      <w:pPr>
        <w:rPr>
          <w:rFonts w:ascii="Arial" w:eastAsia="Times New Roman" w:hAnsi="Arial" w:cs="Arial"/>
          <w:b/>
          <w:color w:val="004B87"/>
        </w:rPr>
      </w:pPr>
      <w:r>
        <w:rPr>
          <w:rFonts w:ascii="Arial" w:eastAsia="Times New Roman" w:hAnsi="Arial" w:cs="Arial"/>
          <w:b/>
          <w:color w:val="004B87"/>
        </w:rPr>
        <w:br w:type="page"/>
      </w:r>
    </w:p>
    <w:p w14:paraId="16779D74" w14:textId="4D0FC86F" w:rsidR="009E285A" w:rsidRPr="0042272D" w:rsidRDefault="009E285A" w:rsidP="00386EA0">
      <w:pPr>
        <w:spacing w:after="0" w:line="240" w:lineRule="auto"/>
        <w:jc w:val="both"/>
        <w:rPr>
          <w:rFonts w:ascii="Arial" w:eastAsia="Times New Roman" w:hAnsi="Arial" w:cs="Arial"/>
          <w:b/>
          <w:color w:val="004B87"/>
        </w:rPr>
      </w:pPr>
      <w:r w:rsidRPr="003C7A07">
        <w:rPr>
          <w:rFonts w:ascii="Arial" w:eastAsia="Times New Roman" w:hAnsi="Arial" w:cs="Arial"/>
          <w:b/>
          <w:color w:val="004B87"/>
        </w:rPr>
        <w:lastRenderedPageBreak/>
        <w:t xml:space="preserve">Προσαρμοσμένα Καθαρά Κέρδη σε μετόχους της </w:t>
      </w:r>
      <w:r w:rsidR="00CC0E4F">
        <w:rPr>
          <w:rFonts w:ascii="Arial" w:eastAsia="Times New Roman" w:hAnsi="Arial" w:cs="Arial"/>
          <w:b/>
          <w:color w:val="004B87"/>
        </w:rPr>
        <w:t>Ε</w:t>
      </w:r>
      <w:r w:rsidRPr="003C7A07">
        <w:rPr>
          <w:rFonts w:ascii="Arial" w:eastAsia="Times New Roman" w:hAnsi="Arial" w:cs="Arial"/>
          <w:b/>
          <w:color w:val="004B87"/>
        </w:rPr>
        <w:t>ταιρείας</w:t>
      </w:r>
    </w:p>
    <w:p w14:paraId="4DA74E11" w14:textId="738E3F4E" w:rsidR="00250D33" w:rsidRPr="0042272D" w:rsidRDefault="009E285A" w:rsidP="00250D33">
      <w:pPr>
        <w:tabs>
          <w:tab w:val="left" w:pos="-993"/>
        </w:tabs>
        <w:autoSpaceDE w:val="0"/>
        <w:jc w:val="both"/>
        <w:rPr>
          <w:rFonts w:ascii="Tahoma" w:hAnsi="Tahoma" w:cs="Tahoma"/>
        </w:rPr>
      </w:pPr>
      <w:r w:rsidRPr="001D7A36">
        <w:rPr>
          <w:rFonts w:ascii="Arial" w:eastAsia="Times New Roman" w:hAnsi="Arial" w:cs="Arial"/>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w:t>
      </w:r>
      <w:r w:rsidR="0004452F" w:rsidRPr="001D7A36">
        <w:rPr>
          <w:rFonts w:ascii="Arial" w:eastAsia="Times New Roman" w:hAnsi="Arial" w:cs="Arial"/>
        </w:rPr>
        <w:t>4</w:t>
      </w:r>
      <w:r w:rsidRPr="001D7A36">
        <w:rPr>
          <w:rFonts w:ascii="Arial" w:eastAsia="Times New Roman" w:hAnsi="Arial" w:cs="Arial"/>
        </w:rPr>
        <w:t xml:space="preserve"> και την συγκρινόμενη περίοδο του 202</w:t>
      </w:r>
      <w:r w:rsidR="0004452F" w:rsidRPr="001D7A36">
        <w:rPr>
          <w:rFonts w:ascii="Arial" w:eastAsia="Times New Roman" w:hAnsi="Arial" w:cs="Arial"/>
        </w:rPr>
        <w:t>3</w:t>
      </w:r>
      <w:r w:rsidRPr="001D7A36">
        <w:rPr>
          <w:rFonts w:ascii="Arial" w:eastAsia="Times New Roman" w:hAnsi="Arial" w:cs="Arial"/>
        </w:rPr>
        <w:t>, έχει ληφθεί υπόψη η επίδραση από προγράμματα εθελούσιας αποχώρησης</w:t>
      </w:r>
      <w:r w:rsidR="00250D33" w:rsidRPr="001D7A36">
        <w:rPr>
          <w:rFonts w:ascii="Arial" w:eastAsia="Times New Roman" w:hAnsi="Arial" w:cs="Arial"/>
        </w:rPr>
        <w:t xml:space="preserve">, από έξοδα αναδιοργάνωσης, κόστη σχετιζόμενα με τον φορολογικό έλεγχο της </w:t>
      </w:r>
      <w:r w:rsidR="00250D33" w:rsidRPr="00537848">
        <w:rPr>
          <w:rFonts w:ascii="Arial" w:eastAsia="Times New Roman" w:hAnsi="Arial" w:cs="Arial"/>
          <w:lang w:val="en-US"/>
        </w:rPr>
        <w:t>TKRM</w:t>
      </w:r>
      <w:r w:rsidR="00250D33" w:rsidRPr="001D7A36">
        <w:rPr>
          <w:rFonts w:ascii="Arial" w:eastAsia="Times New Roman" w:hAnsi="Arial" w:cs="Arial"/>
        </w:rPr>
        <w:t xml:space="preserve"> για τις χρήσεις 2017-2021, </w:t>
      </w:r>
      <w:r w:rsidR="00250D33" w:rsidRPr="004F331D">
        <w:rPr>
          <w:rFonts w:ascii="Arial" w:eastAsia="Times New Roman" w:hAnsi="Arial" w:cs="Arial"/>
        </w:rPr>
        <w:t>ζημιά</w:t>
      </w:r>
      <w:r w:rsidR="008E75F4" w:rsidRPr="004F331D">
        <w:rPr>
          <w:rFonts w:ascii="Arial" w:eastAsia="Times New Roman" w:hAnsi="Arial" w:cs="Arial"/>
        </w:rPr>
        <w:t xml:space="preserve"> σχετική με την</w:t>
      </w:r>
      <w:r w:rsidR="00250D33" w:rsidRPr="004F331D">
        <w:rPr>
          <w:rFonts w:ascii="Arial" w:eastAsia="Times New Roman" w:hAnsi="Arial" w:cs="Arial"/>
        </w:rPr>
        <w:t xml:space="preserve"> πώληση </w:t>
      </w:r>
      <w:r w:rsidR="008E75F4" w:rsidRPr="004F331D">
        <w:rPr>
          <w:rFonts w:ascii="Arial" w:eastAsia="Times New Roman" w:hAnsi="Arial" w:cs="Arial"/>
        </w:rPr>
        <w:t>θυγατρικών</w:t>
      </w:r>
      <w:r w:rsidR="00250D33" w:rsidRPr="001D7A36">
        <w:rPr>
          <w:rFonts w:ascii="Arial" w:eastAsia="Times New Roman" w:hAnsi="Arial" w:cs="Arial"/>
        </w:rPr>
        <w:t xml:space="preserve">, αντιστροφή πρόβλεψης σχετιζόμενη με πώληση περιουσιακών στοιχείων και επίδραση στο φόρο εισοδήματος σχετιζόμενη με τον φορολογικό έλεγχο της </w:t>
      </w:r>
      <w:r w:rsidR="00250D33" w:rsidRPr="00537848">
        <w:rPr>
          <w:rFonts w:ascii="Arial" w:eastAsia="Times New Roman" w:hAnsi="Arial" w:cs="Arial"/>
          <w:lang w:val="en-US"/>
        </w:rPr>
        <w:t>TKRM</w:t>
      </w:r>
      <w:r w:rsidR="00250D33" w:rsidRPr="001D7A36">
        <w:rPr>
          <w:rFonts w:ascii="Arial" w:eastAsia="Times New Roman" w:hAnsi="Arial" w:cs="Arial"/>
        </w:rPr>
        <w:t xml:space="preserve"> για τις χρήσεις 2017-2021</w:t>
      </w:r>
      <w:r w:rsidR="00397103" w:rsidRPr="001D7A36">
        <w:rPr>
          <w:rFonts w:ascii="Arial" w:eastAsia="Times New Roman" w:hAnsi="Arial" w:cs="Arial"/>
        </w:rPr>
        <w:t xml:space="preserve"> και επίδραση από απομειώσεις και διαγραφές</w:t>
      </w:r>
      <w:r w:rsidR="00250D33" w:rsidRPr="0042272D">
        <w:rPr>
          <w:rFonts w:ascii="Arial" w:eastAsia="Times New Roman" w:hAnsi="Arial" w:cs="Arial"/>
        </w:rPr>
        <w:t>.</w:t>
      </w:r>
      <w:r w:rsidR="00250D33" w:rsidRPr="0042272D">
        <w:rPr>
          <w:rFonts w:ascii="Tahoma" w:hAnsi="Tahoma" w:cs="Tahoma"/>
        </w:rPr>
        <w:t xml:space="preserve"> </w:t>
      </w: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03"/>
        <w:gridCol w:w="1382"/>
        <w:gridCol w:w="1433"/>
        <w:gridCol w:w="1385"/>
        <w:gridCol w:w="1385"/>
      </w:tblGrid>
      <w:tr w:rsidR="00E87B54" w:rsidRPr="0042272D" w14:paraId="6724BD81" w14:textId="77777777" w:rsidTr="00EC3155">
        <w:trPr>
          <w:trHeight w:val="398"/>
        </w:trPr>
        <w:tc>
          <w:tcPr>
            <w:tcW w:w="4903" w:type="dxa"/>
            <w:tcBorders>
              <w:top w:val="single" w:sz="2" w:space="0" w:color="00A5E3"/>
              <w:bottom w:val="single" w:sz="2" w:space="0" w:color="00A5E3"/>
              <w:right w:val="nil"/>
            </w:tcBorders>
            <w:vAlign w:val="center"/>
          </w:tcPr>
          <w:p w14:paraId="2874CCB1" w14:textId="14326F89" w:rsidR="00E87B54" w:rsidRPr="0042272D" w:rsidRDefault="00E87B54" w:rsidP="00E87B54">
            <w:pPr>
              <w:pStyle w:val="ColorfulList-Accent11"/>
              <w:tabs>
                <w:tab w:val="left" w:pos="0"/>
                <w:tab w:val="left" w:pos="284"/>
              </w:tabs>
              <w:ind w:left="0" w:right="-90"/>
              <w:rPr>
                <w:rFonts w:ascii="Arial" w:hAnsi="Arial" w:cs="Arial"/>
                <w:i/>
                <w:sz w:val="18"/>
              </w:rPr>
            </w:pPr>
            <w:r w:rsidRPr="0042272D">
              <w:rPr>
                <w:rFonts w:ascii="Arial" w:hAnsi="Arial" w:cs="Arial"/>
                <w:b/>
                <w:sz w:val="18"/>
                <w:szCs w:val="18"/>
              </w:rPr>
              <w:t>Όμιλος ΟΤΕ (Ευρώ εκατ.)</w:t>
            </w:r>
            <w:r w:rsidRPr="0042272D">
              <w:rPr>
                <w:rFonts w:ascii="Arial" w:hAnsi="Arial" w:cs="Arial"/>
                <w:b/>
                <w:sz w:val="18"/>
                <w:szCs w:val="18"/>
                <w:lang w:val="el-GR"/>
              </w:rPr>
              <w:t xml:space="preserve"> </w:t>
            </w:r>
          </w:p>
        </w:tc>
        <w:tc>
          <w:tcPr>
            <w:tcW w:w="1382" w:type="dxa"/>
            <w:tcBorders>
              <w:top w:val="single" w:sz="2" w:space="0" w:color="00A5E3"/>
              <w:left w:val="nil"/>
              <w:bottom w:val="single" w:sz="2" w:space="0" w:color="00A5E3"/>
              <w:right w:val="nil"/>
            </w:tcBorders>
            <w:vAlign w:val="center"/>
          </w:tcPr>
          <w:p w14:paraId="23DD606B" w14:textId="295B56A0" w:rsidR="00E87B54" w:rsidRPr="0042272D" w:rsidRDefault="00E87B54" w:rsidP="00E87B54">
            <w:pPr>
              <w:pStyle w:val="ColorfulList-Accent11"/>
              <w:tabs>
                <w:tab w:val="left" w:pos="0"/>
                <w:tab w:val="left" w:pos="284"/>
              </w:tabs>
              <w:ind w:left="0" w:right="-90"/>
              <w:jc w:val="right"/>
              <w:rPr>
                <w:rFonts w:ascii="Arial" w:hAnsi="Arial" w:cs="Arial"/>
                <w:i/>
                <w:sz w:val="18"/>
              </w:rPr>
            </w:pPr>
            <w:r w:rsidRPr="0042272D">
              <w:rPr>
                <w:rFonts w:ascii="Arial" w:hAnsi="Arial" w:cs="Arial"/>
                <w:b/>
                <w:sz w:val="18"/>
              </w:rPr>
              <w:t>Q</w:t>
            </w:r>
            <w:r w:rsidR="006A3793">
              <w:rPr>
                <w:rFonts w:ascii="Arial" w:hAnsi="Arial" w:cs="Arial"/>
                <w:b/>
                <w:sz w:val="18"/>
                <w:lang w:val="el-GR"/>
              </w:rPr>
              <w:t>4</w:t>
            </w:r>
            <w:r w:rsidRPr="0042272D">
              <w:rPr>
                <w:rFonts w:ascii="Arial" w:hAnsi="Arial" w:cs="Arial"/>
                <w:b/>
                <w:sz w:val="18"/>
              </w:rPr>
              <w:t>'24</w:t>
            </w:r>
          </w:p>
        </w:tc>
        <w:tc>
          <w:tcPr>
            <w:tcW w:w="1433" w:type="dxa"/>
            <w:tcBorders>
              <w:top w:val="single" w:sz="2" w:space="0" w:color="00A5E3"/>
              <w:left w:val="nil"/>
              <w:bottom w:val="single" w:sz="2" w:space="0" w:color="00A5E3"/>
              <w:right w:val="nil"/>
            </w:tcBorders>
            <w:vAlign w:val="center"/>
          </w:tcPr>
          <w:p w14:paraId="7EC8B299" w14:textId="7CF146BD" w:rsidR="00E87B54" w:rsidRPr="0042272D" w:rsidRDefault="00E87B54" w:rsidP="00E87B54">
            <w:pPr>
              <w:pStyle w:val="ColorfulList-Accent11"/>
              <w:tabs>
                <w:tab w:val="left" w:pos="0"/>
                <w:tab w:val="left" w:pos="284"/>
              </w:tabs>
              <w:ind w:left="0" w:right="-90"/>
              <w:jc w:val="right"/>
              <w:rPr>
                <w:rFonts w:ascii="Arial" w:hAnsi="Arial" w:cs="Arial"/>
                <w:i/>
                <w:sz w:val="18"/>
              </w:rPr>
            </w:pPr>
            <w:r w:rsidRPr="0042272D">
              <w:rPr>
                <w:rFonts w:ascii="Arial" w:hAnsi="Arial" w:cs="Arial"/>
                <w:b/>
                <w:sz w:val="18"/>
              </w:rPr>
              <w:t>Q</w:t>
            </w:r>
            <w:r w:rsidR="006A3793">
              <w:rPr>
                <w:rFonts w:ascii="Arial" w:hAnsi="Arial" w:cs="Arial"/>
                <w:b/>
                <w:sz w:val="18"/>
                <w:lang w:val="el-GR"/>
              </w:rPr>
              <w:t>4</w:t>
            </w:r>
            <w:r w:rsidRPr="0042272D">
              <w:rPr>
                <w:rFonts w:ascii="Arial" w:hAnsi="Arial" w:cs="Arial"/>
                <w:b/>
                <w:sz w:val="18"/>
              </w:rPr>
              <w:t>'23</w:t>
            </w:r>
          </w:p>
        </w:tc>
        <w:tc>
          <w:tcPr>
            <w:tcW w:w="1385" w:type="dxa"/>
            <w:tcBorders>
              <w:top w:val="single" w:sz="2" w:space="0" w:color="00A5E3"/>
              <w:left w:val="nil"/>
              <w:bottom w:val="single" w:sz="2" w:space="0" w:color="00A5E3"/>
              <w:right w:val="nil"/>
            </w:tcBorders>
            <w:vAlign w:val="center"/>
          </w:tcPr>
          <w:p w14:paraId="74788D97" w14:textId="4737F3AA" w:rsidR="00E87B54" w:rsidRPr="0042272D" w:rsidRDefault="006A3793" w:rsidP="00E87B54">
            <w:pPr>
              <w:pStyle w:val="ColorfulList-Accent11"/>
              <w:tabs>
                <w:tab w:val="left" w:pos="0"/>
                <w:tab w:val="left" w:pos="284"/>
              </w:tabs>
              <w:ind w:left="0" w:right="-90"/>
              <w:jc w:val="right"/>
              <w:rPr>
                <w:rFonts w:ascii="Arial" w:hAnsi="Arial" w:cs="Arial"/>
                <w:b/>
                <w:sz w:val="18"/>
              </w:rPr>
            </w:pPr>
            <w:r>
              <w:rPr>
                <w:rFonts w:ascii="Arial" w:hAnsi="Arial" w:cs="Arial"/>
                <w:b/>
                <w:sz w:val="18"/>
                <w:lang w:val="el-GR"/>
              </w:rPr>
              <w:t>12</w:t>
            </w:r>
            <w:r w:rsidR="00E87B54" w:rsidRPr="0042272D">
              <w:rPr>
                <w:rFonts w:ascii="Arial" w:hAnsi="Arial" w:cs="Arial"/>
                <w:b/>
                <w:sz w:val="18"/>
              </w:rPr>
              <w:t>M'24</w:t>
            </w:r>
          </w:p>
        </w:tc>
        <w:tc>
          <w:tcPr>
            <w:tcW w:w="1385" w:type="dxa"/>
            <w:tcBorders>
              <w:top w:val="single" w:sz="2" w:space="0" w:color="00A5E3"/>
              <w:left w:val="nil"/>
              <w:bottom w:val="single" w:sz="2" w:space="0" w:color="00A5E3"/>
              <w:right w:val="nil"/>
            </w:tcBorders>
            <w:vAlign w:val="center"/>
          </w:tcPr>
          <w:p w14:paraId="4FDCDD5B" w14:textId="10AB1047" w:rsidR="00E87B54" w:rsidRPr="0042272D" w:rsidRDefault="006A3793" w:rsidP="00E87B54">
            <w:pPr>
              <w:pStyle w:val="ColorfulList-Accent11"/>
              <w:tabs>
                <w:tab w:val="left" w:pos="0"/>
                <w:tab w:val="left" w:pos="284"/>
              </w:tabs>
              <w:ind w:left="0" w:right="-90"/>
              <w:jc w:val="right"/>
              <w:rPr>
                <w:rFonts w:ascii="Arial" w:hAnsi="Arial" w:cs="Arial"/>
                <w:b/>
                <w:sz w:val="18"/>
              </w:rPr>
            </w:pPr>
            <w:r>
              <w:rPr>
                <w:rFonts w:ascii="Arial" w:hAnsi="Arial" w:cs="Arial"/>
                <w:b/>
                <w:sz w:val="18"/>
                <w:lang w:val="el-GR"/>
              </w:rPr>
              <w:t>12</w:t>
            </w:r>
            <w:r w:rsidR="00E87B54" w:rsidRPr="0042272D">
              <w:rPr>
                <w:rFonts w:ascii="Arial" w:hAnsi="Arial" w:cs="Arial"/>
                <w:b/>
                <w:sz w:val="18"/>
              </w:rPr>
              <w:t>M'23</w:t>
            </w:r>
          </w:p>
        </w:tc>
      </w:tr>
      <w:tr w:rsidR="00864EBF" w:rsidRPr="0042272D" w14:paraId="5E9F2A8E" w14:textId="77777777" w:rsidTr="00DA3873">
        <w:trPr>
          <w:trHeight w:val="269"/>
        </w:trPr>
        <w:tc>
          <w:tcPr>
            <w:tcW w:w="4903" w:type="dxa"/>
            <w:tcBorders>
              <w:top w:val="single" w:sz="2" w:space="0" w:color="00A5E3"/>
              <w:bottom w:val="single" w:sz="4" w:space="0" w:color="A6A6A6" w:themeColor="background1" w:themeShade="A6"/>
              <w:right w:val="nil"/>
            </w:tcBorders>
            <w:vAlign w:val="center"/>
          </w:tcPr>
          <w:p w14:paraId="0786E8B7" w14:textId="50FA9014" w:rsidR="00864EBF" w:rsidRPr="0042272D" w:rsidRDefault="00864EBF" w:rsidP="00864EBF">
            <w:pPr>
              <w:pStyle w:val="ColorfulList-Accent11"/>
              <w:tabs>
                <w:tab w:val="left" w:pos="0"/>
                <w:tab w:val="left" w:pos="284"/>
              </w:tabs>
              <w:ind w:left="0" w:right="-90"/>
              <w:jc w:val="both"/>
              <w:rPr>
                <w:rFonts w:ascii="Arial" w:hAnsi="Arial" w:cs="Arial"/>
                <w:b/>
                <w:bCs/>
                <w:i/>
                <w:sz w:val="18"/>
                <w:lang w:val="el-GR"/>
              </w:rPr>
            </w:pPr>
            <w:r w:rsidRPr="0042272D">
              <w:rPr>
                <w:rFonts w:ascii="Arial" w:hAnsi="Arial" w:cs="Arial"/>
                <w:b/>
                <w:sz w:val="18"/>
                <w:szCs w:val="18"/>
                <w:lang w:val="el-GR"/>
              </w:rPr>
              <w:t>Καθαρά κέρδη  σε μετόχους της Εταιρείας</w:t>
            </w:r>
          </w:p>
        </w:tc>
        <w:tc>
          <w:tcPr>
            <w:tcW w:w="1382" w:type="dxa"/>
            <w:tcBorders>
              <w:top w:val="single" w:sz="2" w:space="0" w:color="00A5E3"/>
              <w:left w:val="nil"/>
              <w:bottom w:val="single" w:sz="4" w:space="0" w:color="A6A6A6" w:themeColor="background1" w:themeShade="A6"/>
              <w:right w:val="nil"/>
            </w:tcBorders>
            <w:vAlign w:val="center"/>
          </w:tcPr>
          <w:p w14:paraId="5D9A68B4" w14:textId="43204685"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lang w:val="el-GR"/>
              </w:rPr>
            </w:pPr>
            <w:r w:rsidRPr="009C4C89">
              <w:rPr>
                <w:rFonts w:ascii="Calibri" w:hAnsi="Calibri" w:cs="Calibri"/>
                <w:b/>
                <w:sz w:val="22"/>
                <w:szCs w:val="22"/>
              </w:rPr>
              <w:t>64</w:t>
            </w:r>
            <w:r w:rsidR="005D2521">
              <w:rPr>
                <w:rFonts w:ascii="Calibri" w:hAnsi="Calibri" w:cs="Calibri"/>
                <w:b/>
                <w:sz w:val="22"/>
                <w:szCs w:val="22"/>
              </w:rPr>
              <w:t>,</w:t>
            </w:r>
            <w:r w:rsidRPr="009C4C89">
              <w:rPr>
                <w:rFonts w:ascii="Calibri" w:hAnsi="Calibri" w:cs="Calibri"/>
                <w:b/>
                <w:sz w:val="22"/>
                <w:szCs w:val="22"/>
              </w:rPr>
              <w:t>5</w:t>
            </w:r>
          </w:p>
        </w:tc>
        <w:tc>
          <w:tcPr>
            <w:tcW w:w="1433" w:type="dxa"/>
            <w:tcBorders>
              <w:top w:val="single" w:sz="2" w:space="0" w:color="00A5E3"/>
              <w:left w:val="nil"/>
              <w:bottom w:val="single" w:sz="4" w:space="0" w:color="A6A6A6" w:themeColor="background1" w:themeShade="A6"/>
              <w:right w:val="nil"/>
            </w:tcBorders>
            <w:vAlign w:val="center"/>
          </w:tcPr>
          <w:p w14:paraId="07AFB263" w14:textId="12E4AE69"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745D7B">
              <w:rPr>
                <w:rFonts w:ascii="Calibri" w:hAnsi="Calibri" w:cs="Calibri"/>
                <w:b/>
                <w:bCs/>
                <w:sz w:val="22"/>
                <w:szCs w:val="22"/>
              </w:rPr>
              <w:t>134</w:t>
            </w:r>
            <w:r w:rsidR="005D2521">
              <w:rPr>
                <w:rFonts w:ascii="Calibri" w:hAnsi="Calibri" w:cs="Calibri"/>
                <w:b/>
                <w:bCs/>
                <w:sz w:val="22"/>
                <w:szCs w:val="22"/>
              </w:rPr>
              <w:t>,</w:t>
            </w:r>
            <w:r w:rsidRPr="00745D7B">
              <w:rPr>
                <w:rFonts w:ascii="Calibri" w:hAnsi="Calibri" w:cs="Calibri"/>
                <w:b/>
                <w:bCs/>
                <w:sz w:val="22"/>
                <w:szCs w:val="22"/>
              </w:rPr>
              <w:t>5</w:t>
            </w:r>
          </w:p>
        </w:tc>
        <w:tc>
          <w:tcPr>
            <w:tcW w:w="1385" w:type="dxa"/>
            <w:tcBorders>
              <w:top w:val="single" w:sz="2" w:space="0" w:color="00A5E3"/>
              <w:left w:val="nil"/>
              <w:bottom w:val="single" w:sz="4" w:space="0" w:color="A6A6A6" w:themeColor="background1" w:themeShade="A6"/>
              <w:right w:val="nil"/>
            </w:tcBorders>
            <w:vAlign w:val="center"/>
          </w:tcPr>
          <w:p w14:paraId="7A5B3024" w14:textId="277187E5"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9C4C89">
              <w:rPr>
                <w:rFonts w:ascii="Calibri" w:hAnsi="Calibri" w:cs="Calibri"/>
                <w:b/>
                <w:sz w:val="22"/>
                <w:szCs w:val="22"/>
              </w:rPr>
              <w:t>478</w:t>
            </w:r>
            <w:r w:rsidR="005D2521">
              <w:rPr>
                <w:rFonts w:ascii="Calibri" w:hAnsi="Calibri" w:cs="Calibri"/>
                <w:b/>
                <w:sz w:val="22"/>
                <w:szCs w:val="22"/>
              </w:rPr>
              <w:t>,</w:t>
            </w:r>
            <w:r w:rsidRPr="009C4C89">
              <w:rPr>
                <w:rFonts w:ascii="Calibri" w:hAnsi="Calibri" w:cs="Calibri"/>
                <w:b/>
                <w:sz w:val="22"/>
                <w:szCs w:val="22"/>
              </w:rPr>
              <w:t>8</w:t>
            </w:r>
          </w:p>
        </w:tc>
        <w:tc>
          <w:tcPr>
            <w:tcW w:w="1385" w:type="dxa"/>
            <w:tcBorders>
              <w:top w:val="single" w:sz="2" w:space="0" w:color="00A5E3"/>
              <w:left w:val="nil"/>
              <w:bottom w:val="single" w:sz="4" w:space="0" w:color="A6A6A6" w:themeColor="background1" w:themeShade="A6"/>
              <w:right w:val="nil"/>
            </w:tcBorders>
            <w:vAlign w:val="center"/>
          </w:tcPr>
          <w:p w14:paraId="1752CD6A" w14:textId="7A726454"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745D7B">
              <w:rPr>
                <w:rFonts w:ascii="Calibri" w:hAnsi="Calibri" w:cs="Calibri"/>
                <w:b/>
                <w:bCs/>
                <w:sz w:val="22"/>
                <w:szCs w:val="22"/>
              </w:rPr>
              <w:t>531</w:t>
            </w:r>
            <w:r w:rsidR="005D2521">
              <w:rPr>
                <w:rFonts w:ascii="Calibri" w:hAnsi="Calibri" w:cs="Calibri"/>
                <w:b/>
                <w:bCs/>
                <w:sz w:val="22"/>
                <w:szCs w:val="22"/>
              </w:rPr>
              <w:t>,</w:t>
            </w:r>
            <w:r w:rsidRPr="00745D7B">
              <w:rPr>
                <w:rFonts w:ascii="Calibri" w:hAnsi="Calibri" w:cs="Calibri"/>
                <w:b/>
                <w:bCs/>
                <w:sz w:val="22"/>
                <w:szCs w:val="22"/>
              </w:rPr>
              <w:t>7</w:t>
            </w:r>
          </w:p>
        </w:tc>
      </w:tr>
      <w:tr w:rsidR="00864EBF" w:rsidRPr="0042272D" w14:paraId="2C4877B2" w14:textId="77777777" w:rsidTr="00DA3873">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B307BA1" w14:textId="4D302A2B" w:rsidR="00864EBF" w:rsidRPr="0042272D" w:rsidRDefault="00864EBF" w:rsidP="00864EBF">
            <w:pPr>
              <w:pStyle w:val="ColorfulList-Accent11"/>
              <w:tabs>
                <w:tab w:val="left" w:pos="0"/>
                <w:tab w:val="left" w:pos="284"/>
              </w:tabs>
              <w:ind w:left="0" w:right="-90"/>
              <w:jc w:val="both"/>
              <w:rPr>
                <w:rFonts w:ascii="Arial" w:hAnsi="Arial" w:cs="Arial"/>
                <w:sz w:val="18"/>
                <w:lang w:val="el-GR"/>
              </w:rPr>
            </w:pPr>
            <w:r w:rsidRPr="0042272D">
              <w:rPr>
                <w:rFonts w:ascii="Arial" w:hAnsi="Arial" w:cs="Arial"/>
                <w:sz w:val="18"/>
                <w:szCs w:val="18"/>
                <w:lang w:val="el-GR"/>
              </w:rPr>
              <w:t>Κόστη σχετιζόμενα με προγράμματα εθελούσιας αποχώρησης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2E039480" w14:textId="7381C4D5"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1</w:t>
            </w:r>
            <w:r w:rsidR="005D2521">
              <w:rPr>
                <w:rFonts w:ascii="Calibri" w:hAnsi="Calibri" w:cs="Calibri"/>
                <w:sz w:val="22"/>
                <w:szCs w:val="22"/>
              </w:rPr>
              <w:t>,</w:t>
            </w:r>
            <w:r w:rsidRPr="009C4C89">
              <w:rPr>
                <w:rFonts w:ascii="Calibri" w:hAnsi="Calibri" w:cs="Calibri"/>
                <w:sz w:val="22"/>
                <w:szCs w:val="22"/>
              </w:rPr>
              <w:t>9</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A64B124" w14:textId="5D94A3FA"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4</w:t>
            </w:r>
            <w:r w:rsidR="005D2521">
              <w:rPr>
                <w:rFonts w:ascii="Calibri" w:hAnsi="Calibri" w:cs="Calibri"/>
                <w:sz w:val="22"/>
                <w:szCs w:val="22"/>
              </w:rPr>
              <w:t>,</w:t>
            </w:r>
            <w:r w:rsidRPr="009C4C89">
              <w:rPr>
                <w:rFonts w:ascii="Calibri" w:hAnsi="Calibri" w:cs="Calibri"/>
                <w:sz w:val="22"/>
                <w:szCs w:val="22"/>
              </w:rPr>
              <w:t>0</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EC8639" w14:textId="4BF59AEA"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26</w:t>
            </w:r>
            <w:r w:rsidR="005D2521">
              <w:rPr>
                <w:rFonts w:ascii="Calibri" w:hAnsi="Calibri" w:cs="Calibri"/>
                <w:sz w:val="22"/>
                <w:szCs w:val="22"/>
              </w:rPr>
              <w:t>,</w:t>
            </w:r>
            <w:r w:rsidRPr="009C4C89">
              <w:rPr>
                <w:rFonts w:ascii="Calibri" w:hAnsi="Calibri" w:cs="Calibri"/>
                <w:sz w:val="22"/>
                <w:szCs w:val="22"/>
              </w:rPr>
              <w:t>4</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3E611E0" w14:textId="73EAAD3C"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27</w:t>
            </w:r>
            <w:r w:rsidR="005D2521">
              <w:rPr>
                <w:rFonts w:ascii="Calibri" w:hAnsi="Calibri" w:cs="Calibri"/>
                <w:sz w:val="22"/>
                <w:szCs w:val="22"/>
              </w:rPr>
              <w:t>,</w:t>
            </w:r>
            <w:r w:rsidR="00864EBF" w:rsidRPr="009C4C89">
              <w:rPr>
                <w:rFonts w:ascii="Calibri" w:hAnsi="Calibri" w:cs="Calibri"/>
                <w:sz w:val="22"/>
                <w:szCs w:val="22"/>
              </w:rPr>
              <w:t>9</w:t>
            </w:r>
          </w:p>
        </w:tc>
      </w:tr>
      <w:tr w:rsidR="00864EBF" w:rsidRPr="0042272D" w14:paraId="0462E96F"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0EE85BD" w14:textId="2C20090A"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 xml:space="preserve">Έξοδα αναδιοργάνωσης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98D5EB3" w14:textId="0D2C1329"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0</w:t>
            </w:r>
            <w:r w:rsidR="005D2521">
              <w:rPr>
                <w:rFonts w:ascii="Calibri" w:hAnsi="Calibri" w:cs="Calibri"/>
                <w:sz w:val="22"/>
                <w:szCs w:val="22"/>
              </w:rPr>
              <w:t>,</w:t>
            </w:r>
            <w:r w:rsidRPr="009C4C89">
              <w:rPr>
                <w:rFonts w:ascii="Calibri" w:hAnsi="Calibri" w:cs="Calibri"/>
                <w:sz w:val="22"/>
                <w:szCs w:val="22"/>
              </w:rPr>
              <w:t>2</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3F76FE53" w14:textId="4F2EE872"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2</w:t>
            </w:r>
            <w:r w:rsidR="005D2521">
              <w:rPr>
                <w:rFonts w:ascii="Calibri" w:hAnsi="Calibri" w:cs="Calibri"/>
                <w:sz w:val="22"/>
                <w:szCs w:val="22"/>
              </w:rPr>
              <w:t>,</w:t>
            </w:r>
            <w:r w:rsidRPr="009C4C89">
              <w:rPr>
                <w:rFonts w:ascii="Calibri" w:hAnsi="Calibri" w:cs="Calibri"/>
                <w:sz w:val="22"/>
                <w:szCs w:val="22"/>
              </w:rPr>
              <w:t>4</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53079563" w14:textId="4C6CC033"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lang w:val="el-GR"/>
              </w:rPr>
              <w:t>2</w:t>
            </w:r>
            <w:r w:rsidR="005D2521">
              <w:rPr>
                <w:rFonts w:ascii="Arial" w:hAnsi="Arial" w:cs="Arial"/>
                <w:sz w:val="18"/>
                <w:szCs w:val="18"/>
              </w:rPr>
              <w:t>,</w:t>
            </w:r>
            <w:r w:rsidRPr="009C4C89">
              <w:rPr>
                <w:rFonts w:ascii="Arial" w:hAnsi="Arial" w:cs="Arial"/>
                <w:sz w:val="18"/>
                <w:szCs w:val="18"/>
                <w:lang w:val="el-GR"/>
              </w:rPr>
              <w:t>0</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4FACBA2" w14:textId="052487B0"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lang w:val="el-GR"/>
              </w:rPr>
              <w:t>3</w:t>
            </w:r>
            <w:r w:rsidR="005D2521">
              <w:rPr>
                <w:rFonts w:ascii="Arial" w:hAnsi="Arial" w:cs="Arial"/>
                <w:sz w:val="18"/>
                <w:szCs w:val="18"/>
              </w:rPr>
              <w:t>,</w:t>
            </w:r>
            <w:r w:rsidRPr="009C4C89">
              <w:rPr>
                <w:rFonts w:ascii="Arial" w:hAnsi="Arial" w:cs="Arial"/>
                <w:sz w:val="18"/>
                <w:szCs w:val="18"/>
                <w:lang w:val="el-GR"/>
              </w:rPr>
              <w:t>2</w:t>
            </w:r>
          </w:p>
        </w:tc>
      </w:tr>
      <w:tr w:rsidR="00864EBF" w:rsidRPr="0042272D" w14:paraId="433E8437"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84EA2BA" w14:textId="5EED88C3"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3C7A07">
              <w:rPr>
                <w:rFonts w:ascii="Arial" w:hAnsi="Arial" w:cs="Arial"/>
                <w:sz w:val="18"/>
                <w:szCs w:val="18"/>
                <w:lang w:val="el-GR"/>
              </w:rPr>
              <w:t xml:space="preserve">Κόστη σχετιζόμενα με τον φορ/κο έλεγχο της </w:t>
            </w:r>
            <w:r w:rsidRPr="003C7A07">
              <w:rPr>
                <w:rFonts w:ascii="Arial" w:hAnsi="Arial" w:cs="Arial"/>
                <w:sz w:val="18"/>
                <w:szCs w:val="18"/>
              </w:rPr>
              <w:t>TKRM</w:t>
            </w:r>
            <w:r w:rsidRPr="003C7A07">
              <w:rPr>
                <w:rFonts w:ascii="Arial" w:hAnsi="Arial" w:cs="Arial"/>
                <w:sz w:val="18"/>
                <w:szCs w:val="18"/>
                <w:lang w:val="el-GR"/>
              </w:rPr>
              <w:t xml:space="preserve"> για τις χρήσεις 2017-2021</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1BC58660" w14:textId="65318E1B"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lang w:val="el-GR"/>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03C0CB53" w14:textId="739CEC09" w:rsidR="00864EBF" w:rsidRPr="006A3793"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644D658" w14:textId="023151E1" w:rsidR="00864EBF" w:rsidRPr="006A3793"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19</w:t>
            </w:r>
            <w:r w:rsidR="005D2521">
              <w:rPr>
                <w:rFonts w:ascii="Arial" w:hAnsi="Arial" w:cs="Arial"/>
                <w:sz w:val="18"/>
                <w:szCs w:val="18"/>
              </w:rPr>
              <w:t>,</w:t>
            </w:r>
            <w:r w:rsidRPr="009C4C89">
              <w:rPr>
                <w:rFonts w:ascii="Arial" w:hAnsi="Arial" w:cs="Arial"/>
                <w:sz w:val="18"/>
                <w:szCs w:val="18"/>
              </w:rPr>
              <w:t>7</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9DFA15E" w14:textId="49C0348C" w:rsidR="00864EBF" w:rsidRPr="006A3793"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w:t>
            </w:r>
          </w:p>
        </w:tc>
      </w:tr>
      <w:tr w:rsidR="0036086C" w:rsidRPr="0042272D" w14:paraId="7F3A5862"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4A434D7A" w14:textId="5A0C5EAC" w:rsidR="0036086C" w:rsidRPr="0042272D" w:rsidRDefault="0036086C" w:rsidP="0036086C">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 xml:space="preserve">Επίδραση στο φόρο εισοδήματος σχετιζόμενη με τον φορολογικό έλεγχο </w:t>
            </w:r>
            <w:r w:rsidRPr="003C7A07">
              <w:rPr>
                <w:rFonts w:ascii="Arial" w:hAnsi="Arial" w:cs="Arial"/>
                <w:sz w:val="18"/>
                <w:szCs w:val="18"/>
                <w:lang w:val="el-GR"/>
              </w:rPr>
              <w:t xml:space="preserve">της </w:t>
            </w:r>
            <w:r w:rsidRPr="003C7A07">
              <w:rPr>
                <w:rFonts w:ascii="Arial" w:hAnsi="Arial" w:cs="Arial"/>
                <w:sz w:val="18"/>
                <w:szCs w:val="18"/>
              </w:rPr>
              <w:t>TKRM</w:t>
            </w:r>
            <w:r w:rsidRPr="003C7A07">
              <w:rPr>
                <w:rFonts w:ascii="Arial" w:hAnsi="Arial" w:cs="Arial"/>
                <w:sz w:val="18"/>
                <w:szCs w:val="18"/>
                <w:lang w:val="el-GR"/>
              </w:rPr>
              <w:t xml:space="preserve"> για τις χρήσεις 2017-2021</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130029A0" w14:textId="2798C68D"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lang w:val="el-GR"/>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08498C9C" w14:textId="2B05CF70"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8A3F9F8" w14:textId="3B9C2391"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rPr>
              <w:t>13</w:t>
            </w:r>
            <w:r>
              <w:rPr>
                <w:rFonts w:ascii="Arial" w:hAnsi="Arial" w:cs="Arial"/>
                <w:sz w:val="18"/>
                <w:szCs w:val="18"/>
              </w:rPr>
              <w:t>,</w:t>
            </w:r>
            <w:r w:rsidRPr="009C4C89">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5B9428A" w14:textId="700D4C90"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rPr>
              <w:t>-</w:t>
            </w:r>
          </w:p>
        </w:tc>
      </w:tr>
      <w:tr w:rsidR="0036086C" w:rsidRPr="0042272D" w14:paraId="41E1B9BF"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6E73EE06" w14:textId="493F16D0" w:rsidR="0036086C" w:rsidRPr="0042272D" w:rsidRDefault="0036086C" w:rsidP="0036086C">
            <w:pPr>
              <w:pStyle w:val="ColorfulList-Accent11"/>
              <w:tabs>
                <w:tab w:val="left" w:pos="0"/>
                <w:tab w:val="left" w:pos="284"/>
              </w:tabs>
              <w:ind w:left="0" w:right="-90"/>
              <w:jc w:val="both"/>
              <w:rPr>
                <w:rFonts w:ascii="Arial" w:hAnsi="Arial" w:cs="Arial"/>
                <w:sz w:val="18"/>
                <w:szCs w:val="18"/>
                <w:lang w:val="el-GR"/>
              </w:rPr>
            </w:pPr>
            <w:r w:rsidRPr="00464B6C">
              <w:rPr>
                <w:rFonts w:ascii="Arial" w:hAnsi="Arial" w:cs="Arial"/>
                <w:sz w:val="18"/>
                <w:szCs w:val="18"/>
                <w:lang w:val="el-GR"/>
              </w:rPr>
              <w:t>Ζημιά σχετική με την πώληση θυγατρικών</w:t>
            </w:r>
            <w:r w:rsidRPr="0042272D">
              <w:rPr>
                <w:rFonts w:ascii="Arial" w:hAnsi="Arial" w:cs="Arial"/>
                <w:sz w:val="18"/>
                <w:szCs w:val="18"/>
                <w:lang w:val="el-GR"/>
              </w:rPr>
              <w:t xml:space="preserve">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07F3FFB" w14:textId="63DCD8A1"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CC67E49" w14:textId="26309029"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45E7AB55" w14:textId="3A18AE9B"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1,9</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A4BC89" w14:textId="52FB20AA"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w:t>
            </w:r>
          </w:p>
        </w:tc>
      </w:tr>
      <w:tr w:rsidR="0036086C" w:rsidRPr="0042272D" w14:paraId="7018D722"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66630C3" w14:textId="14C68C14" w:rsidR="0036086C" w:rsidRPr="0042272D" w:rsidRDefault="0036086C" w:rsidP="0036086C">
            <w:pPr>
              <w:pStyle w:val="ColorfulList-Accent11"/>
              <w:tabs>
                <w:tab w:val="left" w:pos="0"/>
                <w:tab w:val="left" w:pos="284"/>
              </w:tabs>
              <w:ind w:left="0" w:right="-90"/>
              <w:jc w:val="both"/>
              <w:rPr>
                <w:rFonts w:ascii="Arial" w:hAnsi="Arial" w:cs="Arial"/>
                <w:sz w:val="18"/>
                <w:szCs w:val="18"/>
                <w:lang w:val="el-GR"/>
              </w:rPr>
            </w:pPr>
            <w:r w:rsidRPr="00464B6C">
              <w:rPr>
                <w:rFonts w:ascii="Arial" w:hAnsi="Arial" w:cs="Arial"/>
                <w:sz w:val="18"/>
                <w:szCs w:val="18"/>
                <w:lang w:val="el-GR"/>
              </w:rPr>
              <w:t>Αντιστροφή πρόβλεψης σχετιζόμενη με πώληση περιουσιακών στοιχείων</w:t>
            </w:r>
            <w:r w:rsidRPr="0042272D" w:rsidDel="00ED01BB">
              <w:rPr>
                <w:rFonts w:ascii="Arial" w:hAnsi="Arial" w:cs="Arial"/>
                <w:sz w:val="18"/>
                <w:szCs w:val="18"/>
                <w:lang w:val="el-GR"/>
              </w:rPr>
              <w:t xml:space="preserve">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39696FDF" w14:textId="1FF8A96B"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(0</w:t>
            </w:r>
            <w:r>
              <w:rPr>
                <w:rFonts w:ascii="Arial" w:hAnsi="Arial" w:cs="Arial"/>
                <w:sz w:val="18"/>
                <w:szCs w:val="18"/>
                <w:lang w:val="el-GR"/>
              </w:rPr>
              <w:t>,</w:t>
            </w:r>
            <w:r w:rsidRPr="009C4C89">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1CF59F59" w14:textId="218832A8"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lang w:val="el-GR"/>
              </w:rPr>
              <w:t>(0</w:t>
            </w:r>
            <w:r>
              <w:rPr>
                <w:rFonts w:ascii="Arial" w:hAnsi="Arial" w:cs="Arial"/>
                <w:sz w:val="18"/>
                <w:szCs w:val="18"/>
                <w:lang w:val="el-GR"/>
              </w:rPr>
              <w:t>,</w:t>
            </w:r>
            <w:r w:rsidRPr="009C4C89">
              <w:rPr>
                <w:rFonts w:ascii="Arial" w:hAnsi="Arial" w:cs="Arial"/>
                <w:sz w:val="18"/>
                <w:szCs w:val="18"/>
                <w:lang w:val="el-GR"/>
              </w:rPr>
              <w:t>1)</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5EECAF0" w14:textId="7A1AC92D"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(3</w:t>
            </w:r>
            <w:r w:rsidRPr="009C4C89">
              <w:rPr>
                <w:rFonts w:ascii="Arial" w:hAnsi="Arial" w:cs="Arial"/>
                <w:sz w:val="18"/>
                <w:szCs w:val="18"/>
                <w:lang w:val="el-GR"/>
              </w:rPr>
              <w:t>1</w:t>
            </w:r>
            <w:r>
              <w:rPr>
                <w:rFonts w:ascii="Arial" w:hAnsi="Arial" w:cs="Arial"/>
                <w:sz w:val="18"/>
                <w:szCs w:val="18"/>
                <w:lang w:val="el-GR"/>
              </w:rPr>
              <w:t>,</w:t>
            </w:r>
            <w:r w:rsidRPr="009C4C89">
              <w:rPr>
                <w:rFonts w:ascii="Arial" w:hAnsi="Arial" w:cs="Arial"/>
                <w:sz w:val="18"/>
                <w:szCs w:val="18"/>
                <w:lang w:val="el-GR"/>
              </w:rPr>
              <w:t>6</w:t>
            </w: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4EC161C" w14:textId="70A4B90F"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lang w:val="el-GR"/>
              </w:rPr>
              <w:t>(0</w:t>
            </w:r>
            <w:r>
              <w:rPr>
                <w:rFonts w:ascii="Arial" w:hAnsi="Arial" w:cs="Arial"/>
                <w:sz w:val="18"/>
                <w:szCs w:val="18"/>
                <w:lang w:val="el-GR"/>
              </w:rPr>
              <w:t>,</w:t>
            </w:r>
            <w:r w:rsidRPr="009C4C89">
              <w:rPr>
                <w:rFonts w:ascii="Arial" w:hAnsi="Arial" w:cs="Arial"/>
                <w:sz w:val="18"/>
                <w:szCs w:val="18"/>
                <w:lang w:val="el-GR"/>
              </w:rPr>
              <w:t>1)</w:t>
            </w:r>
          </w:p>
        </w:tc>
      </w:tr>
      <w:tr w:rsidR="005E4272" w:rsidRPr="005E4272" w14:paraId="06EC604A"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681805FE" w14:textId="4837FA28" w:rsidR="005E4272" w:rsidRPr="008C6005" w:rsidRDefault="008C6005" w:rsidP="005E4272">
            <w:pPr>
              <w:pStyle w:val="ColorfulList-Accent11"/>
              <w:tabs>
                <w:tab w:val="left" w:pos="0"/>
                <w:tab w:val="left" w:pos="284"/>
              </w:tabs>
              <w:ind w:left="0" w:right="-90"/>
              <w:jc w:val="both"/>
              <w:rPr>
                <w:rFonts w:ascii="Arial" w:hAnsi="Arial" w:cs="Arial"/>
                <w:sz w:val="18"/>
                <w:szCs w:val="18"/>
                <w:lang w:val="el-GR"/>
              </w:rPr>
            </w:pPr>
            <w:r w:rsidRPr="008C6005">
              <w:rPr>
                <w:rFonts w:ascii="Arial" w:hAnsi="Arial" w:cs="Arial"/>
                <w:sz w:val="18"/>
                <w:szCs w:val="18"/>
                <w:lang w:val="el-GR"/>
              </w:rPr>
              <w:t>Επίδραση από απομειώσεις και διαγραφές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CAACC31" w14:textId="184C23F8" w:rsidR="005E4272" w:rsidRPr="005E4272"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89</w:t>
            </w:r>
            <w:r w:rsidR="005D2521">
              <w:rPr>
                <w:rFonts w:ascii="Arial" w:hAnsi="Arial" w:cs="Arial"/>
                <w:sz w:val="18"/>
                <w:szCs w:val="18"/>
              </w:rPr>
              <w:t>,</w:t>
            </w:r>
            <w:r w:rsidRPr="009C4C89">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3F687BB9" w14:textId="3B028244" w:rsidR="005E4272" w:rsidRPr="009C4C89"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265F2EDE" w14:textId="4A9DEBD9" w:rsidR="005E4272" w:rsidRPr="009C4C89"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89</w:t>
            </w:r>
            <w:r w:rsidR="005D2521">
              <w:rPr>
                <w:rFonts w:ascii="Arial" w:hAnsi="Arial" w:cs="Arial"/>
                <w:sz w:val="18"/>
                <w:szCs w:val="18"/>
              </w:rPr>
              <w:t>,</w:t>
            </w:r>
            <w:r w:rsidRPr="009C4C89">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2C95B924" w14:textId="0BD72FB2" w:rsidR="005E4272" w:rsidRPr="009C4C89"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w:t>
            </w:r>
          </w:p>
        </w:tc>
      </w:tr>
      <w:tr w:rsidR="00864EBF" w:rsidRPr="00FC55D8" w14:paraId="3D4822C9" w14:textId="77777777" w:rsidTr="004119D9">
        <w:trPr>
          <w:trHeight w:val="258"/>
        </w:trPr>
        <w:tc>
          <w:tcPr>
            <w:tcW w:w="490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24BFC7" w14:textId="4CE5073F" w:rsidR="00864EBF" w:rsidRPr="0042272D" w:rsidRDefault="00864EBF" w:rsidP="00864EBF">
            <w:pPr>
              <w:pStyle w:val="ColorfulList-Accent11"/>
              <w:tabs>
                <w:tab w:val="left" w:pos="0"/>
                <w:tab w:val="left" w:pos="284"/>
              </w:tabs>
              <w:ind w:left="0" w:right="-90"/>
              <w:jc w:val="both"/>
              <w:rPr>
                <w:rFonts w:ascii="Arial" w:hAnsi="Arial" w:cs="Arial"/>
                <w:i/>
                <w:sz w:val="18"/>
                <w:lang w:val="el-GR"/>
              </w:rPr>
            </w:pPr>
            <w:r w:rsidRPr="0042272D">
              <w:rPr>
                <w:rFonts w:ascii="Arial" w:hAnsi="Arial" w:cs="Arial"/>
                <w:b/>
                <w:bCs/>
                <w:sz w:val="18"/>
                <w:szCs w:val="18"/>
                <w:lang w:val="el-GR"/>
              </w:rPr>
              <w:t>Προσαρμοσμένα Καθαρά κέρδη  σε μετόχους της Εταιρείας</w:t>
            </w:r>
          </w:p>
        </w:tc>
        <w:tc>
          <w:tcPr>
            <w:tcW w:w="13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3DE2682" w14:textId="37DE837C" w:rsidR="00864EBF" w:rsidRPr="006A3793" w:rsidRDefault="005E4272" w:rsidP="00864EBF">
            <w:pPr>
              <w:pStyle w:val="ColorfulList-Accent11"/>
              <w:tabs>
                <w:tab w:val="left" w:pos="0"/>
                <w:tab w:val="left" w:pos="284"/>
              </w:tabs>
              <w:ind w:left="0" w:right="-90"/>
              <w:jc w:val="right"/>
              <w:rPr>
                <w:rFonts w:ascii="Arial" w:hAnsi="Arial" w:cs="Arial"/>
                <w:i/>
                <w:color w:val="FF0000"/>
                <w:sz w:val="18"/>
                <w:lang w:val="el-GR"/>
              </w:rPr>
            </w:pPr>
            <w:r w:rsidRPr="009C4C89">
              <w:rPr>
                <w:rFonts w:ascii="Calibri" w:hAnsi="Calibri" w:cs="Calibri"/>
                <w:b/>
                <w:sz w:val="22"/>
                <w:szCs w:val="22"/>
              </w:rPr>
              <w:t>155</w:t>
            </w:r>
            <w:r w:rsidR="005D2521">
              <w:rPr>
                <w:rFonts w:ascii="Calibri" w:hAnsi="Calibri" w:cs="Calibri"/>
                <w:b/>
                <w:sz w:val="22"/>
                <w:szCs w:val="22"/>
              </w:rPr>
              <w:t>,</w:t>
            </w:r>
            <w:r w:rsidRPr="009C4C89">
              <w:rPr>
                <w:rFonts w:ascii="Calibri" w:hAnsi="Calibri" w:cs="Calibri"/>
                <w:b/>
                <w:sz w:val="22"/>
                <w:szCs w:val="22"/>
              </w:rPr>
              <w:t>6</w:t>
            </w:r>
          </w:p>
        </w:tc>
        <w:tc>
          <w:tcPr>
            <w:tcW w:w="143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C7834BF" w14:textId="00E6AC50" w:rsidR="00864EBF" w:rsidRPr="006A3793" w:rsidRDefault="005E4272" w:rsidP="00864EBF">
            <w:pPr>
              <w:pStyle w:val="ColorfulList-Accent11"/>
              <w:tabs>
                <w:tab w:val="left" w:pos="0"/>
                <w:tab w:val="left" w:pos="284"/>
              </w:tabs>
              <w:ind w:left="0" w:right="-90"/>
              <w:jc w:val="right"/>
              <w:rPr>
                <w:rFonts w:ascii="Arial" w:hAnsi="Arial" w:cs="Arial"/>
                <w:i/>
                <w:color w:val="FF0000"/>
                <w:sz w:val="18"/>
              </w:rPr>
            </w:pPr>
            <w:r w:rsidRPr="009C4C89">
              <w:rPr>
                <w:rFonts w:ascii="Calibri" w:hAnsi="Calibri" w:cs="Calibri"/>
                <w:b/>
                <w:sz w:val="22"/>
                <w:szCs w:val="22"/>
              </w:rPr>
              <w:t>140</w:t>
            </w:r>
            <w:r w:rsidR="005D2521">
              <w:rPr>
                <w:rFonts w:ascii="Calibri" w:hAnsi="Calibri" w:cs="Calibri"/>
                <w:b/>
                <w:sz w:val="22"/>
                <w:szCs w:val="22"/>
              </w:rPr>
              <w:t>,</w:t>
            </w:r>
            <w:r w:rsidRPr="009C4C89">
              <w:rPr>
                <w:rFonts w:ascii="Calibri" w:hAnsi="Calibri" w:cs="Calibri"/>
                <w:b/>
                <w:sz w:val="22"/>
                <w:szCs w:val="22"/>
              </w:rPr>
              <w:t>8</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8C7655" w14:textId="74FBE8AA"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9C4C89">
              <w:rPr>
                <w:rFonts w:ascii="Calibri" w:hAnsi="Calibri" w:cs="Calibri"/>
                <w:b/>
                <w:sz w:val="22"/>
                <w:szCs w:val="22"/>
              </w:rPr>
              <w:t>600</w:t>
            </w:r>
            <w:r w:rsidR="005D2521">
              <w:rPr>
                <w:rFonts w:ascii="Calibri" w:hAnsi="Calibri" w:cs="Calibri"/>
                <w:b/>
                <w:sz w:val="22"/>
                <w:szCs w:val="22"/>
              </w:rPr>
              <w:t>,</w:t>
            </w:r>
            <w:r w:rsidRPr="009C4C89">
              <w:rPr>
                <w:rFonts w:ascii="Calibri" w:hAnsi="Calibri" w:cs="Calibri"/>
                <w:b/>
                <w:sz w:val="22"/>
                <w:szCs w:val="22"/>
              </w:rPr>
              <w:t>8</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9A4406B" w14:textId="16B08492"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9C4C89">
              <w:rPr>
                <w:rFonts w:ascii="Calibri" w:hAnsi="Calibri" w:cs="Calibri"/>
                <w:b/>
                <w:sz w:val="22"/>
                <w:szCs w:val="22"/>
              </w:rPr>
              <w:t>562</w:t>
            </w:r>
            <w:r w:rsidR="005D2521">
              <w:rPr>
                <w:rFonts w:ascii="Calibri" w:hAnsi="Calibri" w:cs="Calibri"/>
                <w:b/>
                <w:sz w:val="22"/>
                <w:szCs w:val="22"/>
              </w:rPr>
              <w:t>,</w:t>
            </w:r>
            <w:r w:rsidRPr="009C4C89">
              <w:rPr>
                <w:rFonts w:ascii="Calibri" w:hAnsi="Calibri" w:cs="Calibri"/>
                <w:b/>
                <w:sz w:val="22"/>
                <w:szCs w:val="22"/>
              </w:rPr>
              <w:t>7</w:t>
            </w:r>
          </w:p>
        </w:tc>
      </w:tr>
    </w:tbl>
    <w:p w14:paraId="708D4207" w14:textId="77777777" w:rsidR="004119D9" w:rsidRDefault="004119D9" w:rsidP="00F74FE4">
      <w:pPr>
        <w:pStyle w:val="BodyText2"/>
        <w:tabs>
          <w:tab w:val="left" w:pos="0"/>
        </w:tabs>
        <w:spacing w:before="0"/>
        <w:ind w:left="0" w:hanging="993"/>
        <w:rPr>
          <w:rFonts w:ascii="Arial" w:hAnsi="Arial" w:cs="Arial"/>
          <w:lang w:eastAsia="el-GR"/>
        </w:rPr>
      </w:pPr>
    </w:p>
    <w:p w14:paraId="6B13661D" w14:textId="50F3F7DB" w:rsidR="00203138" w:rsidRDefault="00203138" w:rsidP="00203138">
      <w:pPr>
        <w:pStyle w:val="BodyText2"/>
        <w:tabs>
          <w:tab w:val="left" w:pos="1488"/>
        </w:tabs>
        <w:spacing w:before="0"/>
        <w:ind w:left="0" w:hanging="993"/>
        <w:rPr>
          <w:rFonts w:ascii="Arial" w:hAnsi="Arial" w:cs="Arial"/>
          <w:lang w:eastAsia="el-GR"/>
        </w:rPr>
      </w:pPr>
      <w:r>
        <w:rPr>
          <w:rFonts w:ascii="Arial" w:hAnsi="Arial" w:cs="Arial"/>
          <w:lang w:eastAsia="el-GR"/>
        </w:rPr>
        <w:tab/>
      </w:r>
      <w:r>
        <w:rPr>
          <w:rFonts w:ascii="Arial" w:hAnsi="Arial" w:cs="Arial"/>
          <w:lang w:eastAsia="el-GR"/>
        </w:rPr>
        <w:tab/>
      </w:r>
    </w:p>
    <w:p w14:paraId="3A786AF8" w14:textId="77777777" w:rsidR="00203138" w:rsidRDefault="00203138">
      <w:pPr>
        <w:rPr>
          <w:rFonts w:ascii="Arial" w:eastAsia="Times New Roman" w:hAnsi="Arial" w:cs="Arial"/>
          <w:szCs w:val="20"/>
          <w:lang w:val="en-US" w:eastAsia="el-GR"/>
        </w:rPr>
      </w:pPr>
      <w:r>
        <w:rPr>
          <w:rFonts w:ascii="Arial" w:hAnsi="Arial" w:cs="Arial"/>
          <w:lang w:eastAsia="el-GR"/>
        </w:rPr>
        <w:br w:type="page"/>
      </w:r>
    </w:p>
    <w:p w14:paraId="6D990909" w14:textId="52C68125" w:rsidR="0009084A" w:rsidRPr="00051E74" w:rsidRDefault="0009084A" w:rsidP="0009084A">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ΚΑΤΑΣΤΑΣΗ ΧΡΗΜΑΤΟΟΙΚΟΝΟΜΙΚΗΣ ΘΕΣΗΣ </w:t>
      </w:r>
    </w:p>
    <w:p w14:paraId="2917BD00" w14:textId="5E285391" w:rsidR="00ED5F91" w:rsidRPr="0009084A" w:rsidRDefault="0009084A" w:rsidP="0009084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0" behindDoc="0" locked="0" layoutInCell="1" allowOverlap="1" wp14:anchorId="5091D71E" wp14:editId="38A4081C">
                <wp:simplePos x="0" y="0"/>
                <wp:positionH relativeFrom="column">
                  <wp:posOffset>2752</wp:posOffset>
                </wp:positionH>
                <wp:positionV relativeFrom="paragraph">
                  <wp:posOffset>11642</wp:posOffset>
                </wp:positionV>
                <wp:extent cx="664083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C37FB" id="Straight Connector 25"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490"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379"/>
        <w:gridCol w:w="1985"/>
        <w:gridCol w:w="2126"/>
      </w:tblGrid>
      <w:tr w:rsidR="0009084A" w:rsidRPr="00810E77" w14:paraId="5115B089" w14:textId="77777777" w:rsidTr="0009084A">
        <w:trPr>
          <w:trHeight w:val="68"/>
        </w:trPr>
        <w:tc>
          <w:tcPr>
            <w:tcW w:w="6379" w:type="dxa"/>
            <w:tcBorders>
              <w:top w:val="nil"/>
              <w:bottom w:val="single" w:sz="2" w:space="0" w:color="808080" w:themeColor="background1" w:themeShade="80"/>
            </w:tcBorders>
            <w:vAlign w:val="center"/>
          </w:tcPr>
          <w:p w14:paraId="3101055A" w14:textId="3DE43F9C"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85" w:type="dxa"/>
            <w:tcBorders>
              <w:top w:val="nil"/>
              <w:bottom w:val="single" w:sz="2" w:space="0" w:color="808080" w:themeColor="background1" w:themeShade="80"/>
            </w:tcBorders>
            <w:vAlign w:val="center"/>
          </w:tcPr>
          <w:p w14:paraId="6B9AA66D" w14:textId="77777777"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color w:val="000000" w:themeColor="text1"/>
                <w:sz w:val="18"/>
                <w:szCs w:val="18"/>
              </w:rPr>
              <w:t>31/12/2024</w:t>
            </w:r>
          </w:p>
        </w:tc>
        <w:tc>
          <w:tcPr>
            <w:tcW w:w="2126" w:type="dxa"/>
            <w:tcBorders>
              <w:top w:val="nil"/>
              <w:bottom w:val="single" w:sz="2" w:space="0" w:color="808080" w:themeColor="background1" w:themeShade="80"/>
            </w:tcBorders>
            <w:vAlign w:val="center"/>
          </w:tcPr>
          <w:p w14:paraId="26EF9AE3" w14:textId="77777777"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color w:val="000000" w:themeColor="text1"/>
                <w:sz w:val="18"/>
                <w:szCs w:val="18"/>
              </w:rPr>
              <w:t>31/12/2023</w:t>
            </w:r>
          </w:p>
        </w:tc>
      </w:tr>
      <w:tr w:rsidR="0009084A" w:rsidRPr="00810E77" w14:paraId="204E0BED" w14:textId="77777777" w:rsidTr="0009084A">
        <w:trPr>
          <w:trHeight w:val="163"/>
        </w:trPr>
        <w:tc>
          <w:tcPr>
            <w:tcW w:w="6379" w:type="dxa"/>
            <w:tcBorders>
              <w:top w:val="single" w:sz="2" w:space="0" w:color="808080" w:themeColor="background1" w:themeShade="80"/>
            </w:tcBorders>
            <w:vAlign w:val="center"/>
          </w:tcPr>
          <w:p w14:paraId="734B9562" w14:textId="78692227"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ΠΕΡΙΟΥΣΙΑΚΑ ΣΤΟΙΧΕΙΑ</w:t>
            </w:r>
          </w:p>
        </w:tc>
        <w:tc>
          <w:tcPr>
            <w:tcW w:w="1985" w:type="dxa"/>
            <w:tcBorders>
              <w:top w:val="single" w:sz="2" w:space="0" w:color="808080" w:themeColor="background1" w:themeShade="80"/>
            </w:tcBorders>
            <w:vAlign w:val="center"/>
          </w:tcPr>
          <w:p w14:paraId="66514E79"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tcBorders>
            <w:vAlign w:val="center"/>
          </w:tcPr>
          <w:p w14:paraId="583C6726"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810E77" w14:paraId="57C8DB12" w14:textId="77777777" w:rsidTr="0009084A">
        <w:trPr>
          <w:trHeight w:val="214"/>
        </w:trPr>
        <w:tc>
          <w:tcPr>
            <w:tcW w:w="6379" w:type="dxa"/>
            <w:tcBorders>
              <w:bottom w:val="nil"/>
            </w:tcBorders>
            <w:vAlign w:val="center"/>
          </w:tcPr>
          <w:p w14:paraId="5FE5DD59" w14:textId="7450343E"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Μη κυκλοφορούντα περιουσιακά στοιχεία</w:t>
            </w:r>
          </w:p>
        </w:tc>
        <w:tc>
          <w:tcPr>
            <w:tcW w:w="1985" w:type="dxa"/>
            <w:tcBorders>
              <w:bottom w:val="nil"/>
            </w:tcBorders>
            <w:vAlign w:val="center"/>
          </w:tcPr>
          <w:p w14:paraId="565B7E5F"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bottom w:val="nil"/>
            </w:tcBorders>
            <w:vAlign w:val="center"/>
          </w:tcPr>
          <w:p w14:paraId="0F0BEE7D"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A041FE" w14:paraId="11004BB0" w14:textId="77777777" w:rsidTr="0009084A">
        <w:trPr>
          <w:trHeight w:val="196"/>
        </w:trPr>
        <w:tc>
          <w:tcPr>
            <w:tcW w:w="6379" w:type="dxa"/>
            <w:tcBorders>
              <w:top w:val="nil"/>
              <w:bottom w:val="nil"/>
            </w:tcBorders>
            <w:shd w:val="clear" w:color="auto" w:fill="FFFFFF" w:themeFill="background1"/>
          </w:tcPr>
          <w:p w14:paraId="7C1F1912" w14:textId="43F114F3"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Ενσώματα πάγια</w:t>
            </w:r>
          </w:p>
        </w:tc>
        <w:tc>
          <w:tcPr>
            <w:tcW w:w="1985" w:type="dxa"/>
            <w:tcBorders>
              <w:top w:val="nil"/>
              <w:bottom w:val="nil"/>
            </w:tcBorders>
            <w:shd w:val="clear" w:color="auto" w:fill="FFFFFF" w:themeFill="background1"/>
            <w:vAlign w:val="center"/>
          </w:tcPr>
          <w:p w14:paraId="59E0AA6D" w14:textId="1AA9C6E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227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1AF70179" w14:textId="650862B2"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188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r>
      <w:tr w:rsidR="0009084A" w:rsidRPr="00A041FE" w14:paraId="3CE3A7AC" w14:textId="77777777" w:rsidTr="0009084A">
        <w:trPr>
          <w:trHeight w:val="246"/>
        </w:trPr>
        <w:tc>
          <w:tcPr>
            <w:tcW w:w="6379" w:type="dxa"/>
            <w:tcBorders>
              <w:top w:val="nil"/>
              <w:bottom w:val="nil"/>
            </w:tcBorders>
            <w:shd w:val="clear" w:color="auto" w:fill="FFFFFF" w:themeFill="background1"/>
          </w:tcPr>
          <w:p w14:paraId="74B2B517" w14:textId="12BD93CF"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Περιουσιακά στοιχεία με δικαίωμα χρήσης</w:t>
            </w:r>
          </w:p>
        </w:tc>
        <w:tc>
          <w:tcPr>
            <w:tcW w:w="1985" w:type="dxa"/>
            <w:tcBorders>
              <w:top w:val="nil"/>
              <w:bottom w:val="nil"/>
            </w:tcBorders>
            <w:shd w:val="clear" w:color="auto" w:fill="FFFFFF" w:themeFill="background1"/>
            <w:vAlign w:val="center"/>
          </w:tcPr>
          <w:p w14:paraId="4ABA7E2E" w14:textId="7979B915"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262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nil"/>
            </w:tcBorders>
            <w:shd w:val="clear" w:color="auto" w:fill="FFFFFF" w:themeFill="background1"/>
            <w:vAlign w:val="center"/>
          </w:tcPr>
          <w:p w14:paraId="6F878419" w14:textId="19A13B49"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258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A041FE" w14:paraId="5599A61A" w14:textId="77777777" w:rsidTr="0009084A">
        <w:trPr>
          <w:trHeight w:val="256"/>
        </w:trPr>
        <w:tc>
          <w:tcPr>
            <w:tcW w:w="6379" w:type="dxa"/>
            <w:tcBorders>
              <w:top w:val="nil"/>
              <w:bottom w:val="nil"/>
            </w:tcBorders>
            <w:shd w:val="clear" w:color="auto" w:fill="FFFFFF" w:themeFill="background1"/>
          </w:tcPr>
          <w:p w14:paraId="7F18F69C" w14:textId="0DDC2466"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Υπεραξία</w:t>
            </w:r>
          </w:p>
        </w:tc>
        <w:tc>
          <w:tcPr>
            <w:tcW w:w="1985" w:type="dxa"/>
            <w:tcBorders>
              <w:top w:val="nil"/>
              <w:bottom w:val="nil"/>
            </w:tcBorders>
            <w:shd w:val="clear" w:color="auto" w:fill="FFFFFF" w:themeFill="background1"/>
            <w:vAlign w:val="center"/>
          </w:tcPr>
          <w:p w14:paraId="2BCE1924" w14:textId="23AB609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376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1CA73499" w14:textId="6424BE5C"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376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43A611AD" w14:textId="77777777" w:rsidTr="0009084A">
        <w:trPr>
          <w:trHeight w:val="256"/>
        </w:trPr>
        <w:tc>
          <w:tcPr>
            <w:tcW w:w="6379" w:type="dxa"/>
            <w:tcBorders>
              <w:top w:val="nil"/>
              <w:bottom w:val="nil"/>
            </w:tcBorders>
            <w:shd w:val="clear" w:color="auto" w:fill="FFFFFF" w:themeFill="background1"/>
          </w:tcPr>
          <w:p w14:paraId="7746E805" w14:textId="516D195F"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Τηλεπικοινωνιακές άδειες</w:t>
            </w:r>
          </w:p>
        </w:tc>
        <w:tc>
          <w:tcPr>
            <w:tcW w:w="1985" w:type="dxa"/>
            <w:tcBorders>
              <w:top w:val="nil"/>
              <w:bottom w:val="nil"/>
            </w:tcBorders>
            <w:shd w:val="clear" w:color="auto" w:fill="FFFFFF" w:themeFill="background1"/>
            <w:vAlign w:val="center"/>
          </w:tcPr>
          <w:p w14:paraId="6B17826E" w14:textId="6B68A8B9"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227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c>
          <w:tcPr>
            <w:tcW w:w="2126" w:type="dxa"/>
            <w:tcBorders>
              <w:top w:val="nil"/>
              <w:bottom w:val="nil"/>
            </w:tcBorders>
            <w:shd w:val="clear" w:color="auto" w:fill="FFFFFF" w:themeFill="background1"/>
            <w:vAlign w:val="center"/>
          </w:tcPr>
          <w:p w14:paraId="7FF3B650" w14:textId="73A34122"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264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A041FE" w14:paraId="4D498E2F" w14:textId="77777777" w:rsidTr="0009084A">
        <w:trPr>
          <w:trHeight w:val="256"/>
        </w:trPr>
        <w:tc>
          <w:tcPr>
            <w:tcW w:w="6379" w:type="dxa"/>
            <w:tcBorders>
              <w:top w:val="nil"/>
              <w:bottom w:val="nil"/>
            </w:tcBorders>
            <w:shd w:val="clear" w:color="auto" w:fill="FFFFFF" w:themeFill="background1"/>
          </w:tcPr>
          <w:p w14:paraId="26DE98B5" w14:textId="617333D1"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άυλα περιουσιακά στοιχεία</w:t>
            </w:r>
          </w:p>
        </w:tc>
        <w:tc>
          <w:tcPr>
            <w:tcW w:w="1985" w:type="dxa"/>
            <w:tcBorders>
              <w:top w:val="nil"/>
              <w:bottom w:val="nil"/>
            </w:tcBorders>
            <w:shd w:val="clear" w:color="auto" w:fill="FFFFFF" w:themeFill="background1"/>
            <w:vAlign w:val="center"/>
          </w:tcPr>
          <w:p w14:paraId="1DEB1722" w14:textId="6F6791D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279</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5EE333DD" w14:textId="24C7D69B"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263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r>
      <w:tr w:rsidR="0009084A" w:rsidRPr="00A041FE" w14:paraId="73C410FD" w14:textId="77777777" w:rsidTr="0009084A">
        <w:trPr>
          <w:trHeight w:val="256"/>
        </w:trPr>
        <w:tc>
          <w:tcPr>
            <w:tcW w:w="6379" w:type="dxa"/>
            <w:tcBorders>
              <w:top w:val="nil"/>
              <w:bottom w:val="nil"/>
            </w:tcBorders>
            <w:shd w:val="clear" w:color="auto" w:fill="FFFFFF" w:themeFill="background1"/>
          </w:tcPr>
          <w:p w14:paraId="1A38D30E" w14:textId="1B97BEC2"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Συμμετοχές</w:t>
            </w:r>
          </w:p>
        </w:tc>
        <w:tc>
          <w:tcPr>
            <w:tcW w:w="1985" w:type="dxa"/>
            <w:tcBorders>
              <w:top w:val="nil"/>
              <w:bottom w:val="nil"/>
            </w:tcBorders>
            <w:shd w:val="clear" w:color="auto" w:fill="FFFFFF" w:themeFill="background1"/>
            <w:vAlign w:val="center"/>
          </w:tcPr>
          <w:p w14:paraId="558D2105" w14:textId="63EE65CA"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c>
          <w:tcPr>
            <w:tcW w:w="2126" w:type="dxa"/>
            <w:tcBorders>
              <w:top w:val="nil"/>
              <w:bottom w:val="nil"/>
            </w:tcBorders>
            <w:shd w:val="clear" w:color="auto" w:fill="FFFFFF" w:themeFill="background1"/>
            <w:vAlign w:val="center"/>
          </w:tcPr>
          <w:p w14:paraId="2238AFFC" w14:textId="33262039"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r>
      <w:tr w:rsidR="0009084A" w:rsidRPr="00A041FE" w14:paraId="2DDD8ECE" w14:textId="77777777" w:rsidTr="0009084A">
        <w:trPr>
          <w:trHeight w:val="256"/>
        </w:trPr>
        <w:tc>
          <w:tcPr>
            <w:tcW w:w="6379" w:type="dxa"/>
            <w:tcBorders>
              <w:top w:val="nil"/>
              <w:bottom w:val="nil"/>
            </w:tcBorders>
            <w:shd w:val="clear" w:color="auto" w:fill="FFFFFF" w:themeFill="background1"/>
          </w:tcPr>
          <w:p w14:paraId="17559F7B" w14:textId="277DC62F"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Δάνεια σε ασφαλιστικά ταμεία</w:t>
            </w:r>
          </w:p>
        </w:tc>
        <w:tc>
          <w:tcPr>
            <w:tcW w:w="1985" w:type="dxa"/>
            <w:tcBorders>
              <w:top w:val="nil"/>
              <w:bottom w:val="nil"/>
            </w:tcBorders>
            <w:shd w:val="clear" w:color="auto" w:fill="FFFFFF" w:themeFill="background1"/>
            <w:vAlign w:val="center"/>
          </w:tcPr>
          <w:p w14:paraId="1E35517E" w14:textId="4CAD47C6"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c>
          <w:tcPr>
            <w:tcW w:w="2126" w:type="dxa"/>
            <w:tcBorders>
              <w:top w:val="nil"/>
              <w:bottom w:val="nil"/>
            </w:tcBorders>
            <w:shd w:val="clear" w:color="auto" w:fill="FFFFFF" w:themeFill="background1"/>
            <w:vAlign w:val="center"/>
          </w:tcPr>
          <w:p w14:paraId="7E842071" w14:textId="63D826FA"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A041FE" w14:paraId="3300ADD4" w14:textId="77777777" w:rsidTr="0009084A">
        <w:trPr>
          <w:trHeight w:val="256"/>
        </w:trPr>
        <w:tc>
          <w:tcPr>
            <w:tcW w:w="6379" w:type="dxa"/>
            <w:tcBorders>
              <w:top w:val="nil"/>
              <w:bottom w:val="nil"/>
            </w:tcBorders>
            <w:shd w:val="clear" w:color="auto" w:fill="FFFFFF" w:themeFill="background1"/>
          </w:tcPr>
          <w:p w14:paraId="0855934E" w14:textId="1F28CB46"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Αναβαλλόμενες φορολογικές απαιτήσεις</w:t>
            </w:r>
          </w:p>
        </w:tc>
        <w:tc>
          <w:tcPr>
            <w:tcW w:w="1985" w:type="dxa"/>
            <w:tcBorders>
              <w:top w:val="nil"/>
              <w:bottom w:val="nil"/>
            </w:tcBorders>
            <w:shd w:val="clear" w:color="auto" w:fill="FFFFFF" w:themeFill="background1"/>
            <w:vAlign w:val="center"/>
          </w:tcPr>
          <w:p w14:paraId="7C68686F" w14:textId="4B8357DA"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189</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c>
          <w:tcPr>
            <w:tcW w:w="2126" w:type="dxa"/>
            <w:tcBorders>
              <w:top w:val="nil"/>
              <w:bottom w:val="nil"/>
            </w:tcBorders>
            <w:shd w:val="clear" w:color="auto" w:fill="FFFFFF" w:themeFill="background1"/>
            <w:vAlign w:val="center"/>
          </w:tcPr>
          <w:p w14:paraId="4C7B588B" w14:textId="694AACF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A041FE" w14:paraId="235CD5CF" w14:textId="77777777" w:rsidTr="0009084A">
        <w:trPr>
          <w:trHeight w:val="256"/>
        </w:trPr>
        <w:tc>
          <w:tcPr>
            <w:tcW w:w="6379" w:type="dxa"/>
            <w:tcBorders>
              <w:top w:val="nil"/>
              <w:bottom w:val="nil"/>
            </w:tcBorders>
            <w:shd w:val="clear" w:color="auto" w:fill="FFFFFF" w:themeFill="background1"/>
          </w:tcPr>
          <w:p w14:paraId="3126948A" w14:textId="7B0AF9DE"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Κόστος συμβάσεων</w:t>
            </w:r>
          </w:p>
        </w:tc>
        <w:tc>
          <w:tcPr>
            <w:tcW w:w="1985" w:type="dxa"/>
            <w:tcBorders>
              <w:top w:val="nil"/>
              <w:bottom w:val="nil"/>
            </w:tcBorders>
            <w:shd w:val="clear" w:color="auto" w:fill="FFFFFF" w:themeFill="background1"/>
            <w:vAlign w:val="center"/>
          </w:tcPr>
          <w:p w14:paraId="37D00177" w14:textId="5BCE92D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c>
          <w:tcPr>
            <w:tcW w:w="2126" w:type="dxa"/>
            <w:tcBorders>
              <w:top w:val="nil"/>
              <w:bottom w:val="nil"/>
            </w:tcBorders>
            <w:shd w:val="clear" w:color="auto" w:fill="FFFFFF" w:themeFill="background1"/>
            <w:vAlign w:val="center"/>
          </w:tcPr>
          <w:p w14:paraId="41D4FF8F" w14:textId="0F80DBA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A041FE" w14:paraId="4FFBB44B"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2C669310" w14:textId="6F20B7C0"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Λοιπά μη κυκλοφορούντα περιουσιακά στοιχεία</w:t>
            </w:r>
          </w:p>
        </w:tc>
        <w:tc>
          <w:tcPr>
            <w:tcW w:w="1985" w:type="dxa"/>
            <w:tcBorders>
              <w:top w:val="nil"/>
              <w:bottom w:val="single" w:sz="2" w:space="0" w:color="808080" w:themeColor="background1" w:themeShade="80"/>
            </w:tcBorders>
            <w:shd w:val="clear" w:color="auto" w:fill="FFFFFF" w:themeFill="background1"/>
            <w:vAlign w:val="center"/>
          </w:tcPr>
          <w:p w14:paraId="34D23617" w14:textId="2A704B4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single" w:sz="2" w:space="0" w:color="808080" w:themeColor="background1" w:themeShade="80"/>
            </w:tcBorders>
            <w:shd w:val="clear" w:color="auto" w:fill="FFFFFF" w:themeFill="background1"/>
            <w:vAlign w:val="center"/>
          </w:tcPr>
          <w:p w14:paraId="7F71E8C4" w14:textId="451D9F5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r>
      <w:tr w:rsidR="0009084A" w:rsidRPr="00A041FE" w14:paraId="057FD65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984A35" w14:textId="55363590" w:rsidR="0009084A" w:rsidRPr="0009084A" w:rsidRDefault="0009084A" w:rsidP="0009084A">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Σύνολο μη κυκλοφορούντων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ECCA98" w14:textId="34B34142" w:rsidR="0009084A" w:rsidRPr="00AF3467" w:rsidRDefault="0009084A" w:rsidP="0009084A">
            <w:pPr>
              <w:pStyle w:val="ColorfulList-Accent11"/>
              <w:tabs>
                <w:tab w:val="left" w:pos="0"/>
                <w:tab w:val="left" w:pos="284"/>
              </w:tabs>
              <w:ind w:left="0" w:right="-90"/>
              <w:jc w:val="right"/>
              <w:rPr>
                <w:rFonts w:ascii="Arial" w:hAnsi="Arial" w:cs="Arial"/>
                <w:b/>
                <w:bCs/>
                <w:color w:val="000000" w:themeColor="text1"/>
                <w:sz w:val="18"/>
                <w:szCs w:val="18"/>
              </w:rPr>
            </w:pPr>
            <w:r w:rsidRPr="00AF3467">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AF3467">
              <w:rPr>
                <w:rFonts w:ascii="Arial" w:hAnsi="Arial" w:cs="Arial"/>
                <w:b/>
                <w:bCs/>
                <w:color w:val="000000" w:themeColor="text1"/>
                <w:sz w:val="18"/>
                <w:szCs w:val="18"/>
              </w:rPr>
              <w:t>722</w:t>
            </w:r>
            <w:r w:rsidR="005D2521">
              <w:rPr>
                <w:rFonts w:ascii="Arial" w:hAnsi="Arial" w:cs="Arial"/>
                <w:b/>
                <w:bCs/>
                <w:color w:val="000000" w:themeColor="text1"/>
                <w:sz w:val="18"/>
                <w:szCs w:val="18"/>
              </w:rPr>
              <w:t>,</w:t>
            </w:r>
            <w:r w:rsidRPr="00AF3467">
              <w:rPr>
                <w:rFonts w:ascii="Arial" w:hAnsi="Arial" w:cs="Arial"/>
                <w:b/>
                <w:bCs/>
                <w:color w:val="000000" w:themeColor="text1"/>
                <w:sz w:val="18"/>
                <w:szCs w:val="18"/>
              </w:rPr>
              <w:t xml:space="preserve">6 </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250D67" w14:textId="09155727"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color w:val="000000" w:themeColor="text1"/>
                <w:sz w:val="18"/>
                <w:szCs w:val="18"/>
              </w:rPr>
              <w:t>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702</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2 </w:t>
            </w:r>
          </w:p>
        </w:tc>
      </w:tr>
      <w:tr w:rsidR="0009084A" w:rsidRPr="00A041FE" w14:paraId="2425FBF6"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7F34459A" w14:textId="1BB1B60C"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Κυκλοφορούντα περιουσιακά στοιχεία</w:t>
            </w:r>
          </w:p>
        </w:tc>
        <w:tc>
          <w:tcPr>
            <w:tcW w:w="1985" w:type="dxa"/>
            <w:tcBorders>
              <w:top w:val="single" w:sz="2" w:space="0" w:color="808080" w:themeColor="background1" w:themeShade="80"/>
              <w:bottom w:val="nil"/>
            </w:tcBorders>
            <w:shd w:val="clear" w:color="auto" w:fill="FFFFFF" w:themeFill="background1"/>
            <w:vAlign w:val="center"/>
          </w:tcPr>
          <w:p w14:paraId="3510B443"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5CE04E3A"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A041FE" w14:paraId="232E6021" w14:textId="77777777" w:rsidTr="0009084A">
        <w:trPr>
          <w:trHeight w:val="256"/>
        </w:trPr>
        <w:tc>
          <w:tcPr>
            <w:tcW w:w="6379" w:type="dxa"/>
            <w:tcBorders>
              <w:top w:val="nil"/>
              <w:bottom w:val="nil"/>
            </w:tcBorders>
            <w:shd w:val="clear" w:color="auto" w:fill="FFFFFF" w:themeFill="background1"/>
          </w:tcPr>
          <w:p w14:paraId="50F08412" w14:textId="0BA1B0F2"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Αποθέματα</w:t>
            </w:r>
          </w:p>
        </w:tc>
        <w:tc>
          <w:tcPr>
            <w:tcW w:w="1985" w:type="dxa"/>
            <w:tcBorders>
              <w:top w:val="nil"/>
              <w:bottom w:val="nil"/>
            </w:tcBorders>
            <w:shd w:val="clear" w:color="auto" w:fill="FFFFFF" w:themeFill="background1"/>
            <w:vAlign w:val="center"/>
          </w:tcPr>
          <w:p w14:paraId="0AC07B59" w14:textId="7F18873F"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51</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c>
          <w:tcPr>
            <w:tcW w:w="2126" w:type="dxa"/>
            <w:tcBorders>
              <w:top w:val="nil"/>
              <w:bottom w:val="nil"/>
            </w:tcBorders>
            <w:shd w:val="clear" w:color="auto" w:fill="FFFFFF" w:themeFill="background1"/>
            <w:vAlign w:val="center"/>
          </w:tcPr>
          <w:p w14:paraId="1548C15A" w14:textId="646361B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A041FE" w14:paraId="62A2DBF9" w14:textId="77777777" w:rsidTr="0009084A">
        <w:trPr>
          <w:trHeight w:val="256"/>
        </w:trPr>
        <w:tc>
          <w:tcPr>
            <w:tcW w:w="6379" w:type="dxa"/>
            <w:tcBorders>
              <w:top w:val="nil"/>
              <w:bottom w:val="nil"/>
            </w:tcBorders>
            <w:shd w:val="clear" w:color="auto" w:fill="FFFFFF" w:themeFill="background1"/>
          </w:tcPr>
          <w:p w14:paraId="3653CF36" w14:textId="550DEB6F"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Πελάτες</w:t>
            </w:r>
          </w:p>
        </w:tc>
        <w:tc>
          <w:tcPr>
            <w:tcW w:w="1985" w:type="dxa"/>
            <w:tcBorders>
              <w:top w:val="nil"/>
              <w:bottom w:val="nil"/>
            </w:tcBorders>
            <w:shd w:val="clear" w:color="auto" w:fill="FFFFFF" w:themeFill="background1"/>
            <w:vAlign w:val="center"/>
          </w:tcPr>
          <w:p w14:paraId="0F9346C3" w14:textId="5F024E3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536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nil"/>
            </w:tcBorders>
            <w:shd w:val="clear" w:color="auto" w:fill="FFFFFF" w:themeFill="background1"/>
            <w:vAlign w:val="center"/>
          </w:tcPr>
          <w:p w14:paraId="200E60C3" w14:textId="2E80569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537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5B6187F2" w14:textId="77777777" w:rsidTr="0009084A">
        <w:trPr>
          <w:trHeight w:val="256"/>
        </w:trPr>
        <w:tc>
          <w:tcPr>
            <w:tcW w:w="6379" w:type="dxa"/>
            <w:tcBorders>
              <w:top w:val="nil"/>
              <w:bottom w:val="nil"/>
            </w:tcBorders>
            <w:shd w:val="clear" w:color="auto" w:fill="FFFFFF" w:themeFill="background1"/>
          </w:tcPr>
          <w:p w14:paraId="3BC5B3C0" w14:textId="120DF205"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χρηματοοικονομικά περιουσιακά στοιχεία</w:t>
            </w:r>
          </w:p>
        </w:tc>
        <w:tc>
          <w:tcPr>
            <w:tcW w:w="1985" w:type="dxa"/>
            <w:tcBorders>
              <w:top w:val="nil"/>
              <w:bottom w:val="nil"/>
            </w:tcBorders>
            <w:shd w:val="clear" w:color="auto" w:fill="FFFFFF" w:themeFill="background1"/>
            <w:vAlign w:val="center"/>
          </w:tcPr>
          <w:p w14:paraId="056A38A0" w14:textId="2CA999D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c>
          <w:tcPr>
            <w:tcW w:w="2126" w:type="dxa"/>
            <w:tcBorders>
              <w:top w:val="nil"/>
              <w:bottom w:val="nil"/>
            </w:tcBorders>
            <w:shd w:val="clear" w:color="auto" w:fill="FFFFFF" w:themeFill="background1"/>
            <w:vAlign w:val="center"/>
          </w:tcPr>
          <w:p w14:paraId="570AFB8F" w14:textId="6F5285F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0DD2371E" w14:textId="77777777" w:rsidTr="0009084A">
        <w:trPr>
          <w:trHeight w:val="256"/>
        </w:trPr>
        <w:tc>
          <w:tcPr>
            <w:tcW w:w="6379" w:type="dxa"/>
            <w:tcBorders>
              <w:top w:val="nil"/>
              <w:bottom w:val="nil"/>
            </w:tcBorders>
            <w:shd w:val="clear" w:color="auto" w:fill="FFFFFF" w:themeFill="background1"/>
          </w:tcPr>
          <w:p w14:paraId="043319CA" w14:textId="3C0A647C"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Συμβατικά περιουσιακά στοιχεία </w:t>
            </w:r>
          </w:p>
        </w:tc>
        <w:tc>
          <w:tcPr>
            <w:tcW w:w="1985" w:type="dxa"/>
            <w:tcBorders>
              <w:top w:val="nil"/>
              <w:bottom w:val="nil"/>
            </w:tcBorders>
            <w:shd w:val="clear" w:color="auto" w:fill="FFFFFF" w:themeFill="background1"/>
            <w:vAlign w:val="center"/>
          </w:tcPr>
          <w:p w14:paraId="41C0AC70" w14:textId="7BA6059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c>
          <w:tcPr>
            <w:tcW w:w="2126" w:type="dxa"/>
            <w:tcBorders>
              <w:top w:val="nil"/>
              <w:bottom w:val="nil"/>
            </w:tcBorders>
            <w:shd w:val="clear" w:color="auto" w:fill="FFFFFF" w:themeFill="background1"/>
            <w:vAlign w:val="center"/>
          </w:tcPr>
          <w:p w14:paraId="17A41BFB" w14:textId="4C467F1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A041FE" w14:paraId="2FE4792B" w14:textId="77777777" w:rsidTr="0009084A">
        <w:trPr>
          <w:trHeight w:val="256"/>
        </w:trPr>
        <w:tc>
          <w:tcPr>
            <w:tcW w:w="6379" w:type="dxa"/>
            <w:tcBorders>
              <w:top w:val="nil"/>
              <w:bottom w:val="nil"/>
            </w:tcBorders>
            <w:shd w:val="clear" w:color="auto" w:fill="FFFFFF" w:themeFill="background1"/>
          </w:tcPr>
          <w:p w14:paraId="546246F1" w14:textId="75BDCB80"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κυκλοφορούντα περιουσιακά στοιχεία</w:t>
            </w:r>
          </w:p>
        </w:tc>
        <w:tc>
          <w:tcPr>
            <w:tcW w:w="1985" w:type="dxa"/>
            <w:tcBorders>
              <w:top w:val="nil"/>
              <w:bottom w:val="nil"/>
            </w:tcBorders>
            <w:shd w:val="clear" w:color="auto" w:fill="FFFFFF" w:themeFill="background1"/>
            <w:vAlign w:val="center"/>
          </w:tcPr>
          <w:p w14:paraId="115DA559" w14:textId="71EA6846"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134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509CF15E" w14:textId="057F9B8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103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A041FE" w14:paraId="2C42FC2C" w14:textId="77777777" w:rsidTr="0009084A">
        <w:trPr>
          <w:trHeight w:val="256"/>
        </w:trPr>
        <w:tc>
          <w:tcPr>
            <w:tcW w:w="6379" w:type="dxa"/>
            <w:tcBorders>
              <w:top w:val="nil"/>
              <w:bottom w:val="nil"/>
            </w:tcBorders>
            <w:shd w:val="clear" w:color="auto" w:fill="FFFFFF" w:themeFill="background1"/>
          </w:tcPr>
          <w:p w14:paraId="6BA6BE4B" w14:textId="0D34E145"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Δεσμευμένα ταμειακά διαθέσιμα</w:t>
            </w:r>
          </w:p>
        </w:tc>
        <w:tc>
          <w:tcPr>
            <w:tcW w:w="1985" w:type="dxa"/>
            <w:tcBorders>
              <w:top w:val="nil"/>
              <w:bottom w:val="nil"/>
            </w:tcBorders>
            <w:shd w:val="clear" w:color="auto" w:fill="FFFFFF" w:themeFill="background1"/>
            <w:vAlign w:val="center"/>
          </w:tcPr>
          <w:p w14:paraId="5A3D6018" w14:textId="62169B94"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c>
          <w:tcPr>
            <w:tcW w:w="2126" w:type="dxa"/>
            <w:tcBorders>
              <w:top w:val="nil"/>
              <w:bottom w:val="nil"/>
            </w:tcBorders>
            <w:shd w:val="clear" w:color="auto" w:fill="FFFFFF" w:themeFill="background1"/>
            <w:vAlign w:val="center"/>
          </w:tcPr>
          <w:p w14:paraId="7F9C5A59" w14:textId="05580FFD"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2A0B3612" w14:textId="77777777" w:rsidTr="0009084A">
        <w:trPr>
          <w:trHeight w:val="222"/>
        </w:trPr>
        <w:tc>
          <w:tcPr>
            <w:tcW w:w="6379" w:type="dxa"/>
            <w:tcBorders>
              <w:top w:val="nil"/>
              <w:bottom w:val="single" w:sz="2" w:space="0" w:color="808080" w:themeColor="background1" w:themeShade="80"/>
            </w:tcBorders>
            <w:shd w:val="clear" w:color="auto" w:fill="FFFFFF" w:themeFill="background1"/>
          </w:tcPr>
          <w:p w14:paraId="20740960" w14:textId="40B2B99B"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9D2E15">
              <w:rPr>
                <w:rFonts w:ascii="Arial" w:hAnsi="Arial" w:cs="Arial"/>
                <w:sz w:val="18"/>
                <w:szCs w:val="18"/>
                <w:lang w:val="el-GR"/>
              </w:rPr>
              <w:t>Ταμειακά διαθέσιμα και ταμειακά ισοδύναμα</w:t>
            </w:r>
          </w:p>
        </w:tc>
        <w:tc>
          <w:tcPr>
            <w:tcW w:w="1985" w:type="dxa"/>
            <w:tcBorders>
              <w:top w:val="nil"/>
              <w:bottom w:val="single" w:sz="2" w:space="0" w:color="808080" w:themeColor="background1" w:themeShade="80"/>
            </w:tcBorders>
            <w:shd w:val="clear" w:color="auto" w:fill="FFFFFF" w:themeFill="background1"/>
            <w:vAlign w:val="center"/>
          </w:tcPr>
          <w:p w14:paraId="0B9DE53A" w14:textId="684AFD6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467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c>
          <w:tcPr>
            <w:tcW w:w="2126" w:type="dxa"/>
            <w:tcBorders>
              <w:top w:val="nil"/>
              <w:bottom w:val="single" w:sz="2" w:space="0" w:color="808080" w:themeColor="background1" w:themeShade="80"/>
            </w:tcBorders>
            <w:shd w:val="clear" w:color="auto" w:fill="FFFFFF" w:themeFill="background1"/>
            <w:vAlign w:val="center"/>
          </w:tcPr>
          <w:p w14:paraId="436F909A" w14:textId="0E297EB3"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463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A041FE" w14:paraId="4446F7C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68C36A" w14:textId="23874939"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Σύνολο κυκλοφορούντων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E7D9F4" w14:textId="18F6E2AB" w:rsidR="0009084A" w:rsidRPr="00AF3467" w:rsidRDefault="0009084A" w:rsidP="0009084A">
            <w:pPr>
              <w:pStyle w:val="ColorfulList-Accent11"/>
              <w:tabs>
                <w:tab w:val="left" w:pos="0"/>
                <w:tab w:val="left" w:pos="284"/>
              </w:tabs>
              <w:ind w:left="0" w:right="-90"/>
              <w:jc w:val="right"/>
              <w:rPr>
                <w:rFonts w:ascii="Arial" w:hAnsi="Arial" w:cs="Arial"/>
                <w:b/>
                <w:bCs/>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272</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6</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133A3" w14:textId="25A031EB"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234</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2 </w:t>
            </w:r>
          </w:p>
        </w:tc>
      </w:tr>
      <w:tr w:rsidR="0009084A" w:rsidRPr="00A041FE" w14:paraId="5FC48266"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43B389B" w14:textId="1810E85A"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ΣΥΝΟΛΟ ΠΕΡΙΟΥΣΙΑΚΩΝ ΣΤΟΙΧΕΙΩΝ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93310F8" w14:textId="7A6F4185"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995</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r w:rsidRPr="00AF3467">
              <w:rPr>
                <w:rFonts w:ascii="Arial" w:hAnsi="Arial" w:cs="Arial"/>
                <w:b/>
                <w:color w:val="000000" w:themeColor="text1"/>
                <w:sz w:val="18"/>
                <w:szCs w:val="18"/>
              </w:rPr>
              <w:t xml:space="preserve"> </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71EB2F7" w14:textId="1D889611"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936</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4 </w:t>
            </w:r>
          </w:p>
        </w:tc>
      </w:tr>
      <w:tr w:rsidR="0009084A" w:rsidRPr="002A690B" w14:paraId="0438AE70" w14:textId="77777777" w:rsidTr="0009084A">
        <w:trPr>
          <w:trHeight w:val="211"/>
        </w:trPr>
        <w:tc>
          <w:tcPr>
            <w:tcW w:w="6379" w:type="dxa"/>
            <w:tcBorders>
              <w:top w:val="single" w:sz="2" w:space="0" w:color="808080" w:themeColor="background1" w:themeShade="80"/>
              <w:bottom w:val="nil"/>
            </w:tcBorders>
            <w:shd w:val="clear" w:color="auto" w:fill="FFFFFF" w:themeFill="background1"/>
            <w:vAlign w:val="center"/>
          </w:tcPr>
          <w:p w14:paraId="2B85197C" w14:textId="5BAE7399"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ΙΔΙΑ ΚΕΦΑΛΑΙΑ ΚΑΙ ΥΠΟΧΡΕΩΣΕΙΣ</w:t>
            </w:r>
          </w:p>
        </w:tc>
        <w:tc>
          <w:tcPr>
            <w:tcW w:w="1985" w:type="dxa"/>
            <w:tcBorders>
              <w:top w:val="single" w:sz="2" w:space="0" w:color="808080" w:themeColor="background1" w:themeShade="80"/>
              <w:bottom w:val="nil"/>
            </w:tcBorders>
            <w:shd w:val="clear" w:color="auto" w:fill="FFFFFF" w:themeFill="background1"/>
            <w:vAlign w:val="center"/>
          </w:tcPr>
          <w:p w14:paraId="662D3E0D"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single" w:sz="2" w:space="0" w:color="808080" w:themeColor="background1" w:themeShade="80"/>
              <w:bottom w:val="nil"/>
            </w:tcBorders>
            <w:shd w:val="clear" w:color="auto" w:fill="FFFFFF" w:themeFill="background1"/>
            <w:vAlign w:val="center"/>
          </w:tcPr>
          <w:p w14:paraId="70B25375"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09084A" w14:paraId="4057E79A" w14:textId="77777777" w:rsidTr="0009084A">
        <w:trPr>
          <w:trHeight w:val="256"/>
        </w:trPr>
        <w:tc>
          <w:tcPr>
            <w:tcW w:w="6379" w:type="dxa"/>
            <w:tcBorders>
              <w:top w:val="nil"/>
              <w:bottom w:val="nil"/>
            </w:tcBorders>
            <w:shd w:val="clear" w:color="auto" w:fill="FFFFFF" w:themeFill="background1"/>
            <w:vAlign w:val="center"/>
          </w:tcPr>
          <w:p w14:paraId="7EBCDC7D" w14:textId="4E95A98B" w:rsidR="0009084A" w:rsidRPr="0009084A" w:rsidRDefault="0009084A" w:rsidP="0009084A">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bCs/>
                <w:sz w:val="18"/>
                <w:szCs w:val="18"/>
                <w:lang w:val="el-GR"/>
              </w:rPr>
              <w:t xml:space="preserve">Ίδια κεφάλαια που αναλογούν στους μετόχους της </w:t>
            </w:r>
            <w:r>
              <w:rPr>
                <w:rFonts w:ascii="Arial" w:hAnsi="Arial" w:cs="Arial"/>
                <w:b/>
                <w:bCs/>
                <w:sz w:val="18"/>
                <w:szCs w:val="18"/>
                <w:lang w:val="el-GR"/>
              </w:rPr>
              <w:t>Ε</w:t>
            </w:r>
            <w:r w:rsidRPr="00702C16">
              <w:rPr>
                <w:rFonts w:ascii="Arial" w:hAnsi="Arial" w:cs="Arial"/>
                <w:b/>
                <w:bCs/>
                <w:sz w:val="18"/>
                <w:szCs w:val="18"/>
                <w:lang w:val="el-GR"/>
              </w:rPr>
              <w:t>ταιρείας</w:t>
            </w:r>
          </w:p>
        </w:tc>
        <w:tc>
          <w:tcPr>
            <w:tcW w:w="1985" w:type="dxa"/>
            <w:tcBorders>
              <w:top w:val="nil"/>
              <w:bottom w:val="nil"/>
            </w:tcBorders>
            <w:shd w:val="clear" w:color="auto" w:fill="FFFFFF" w:themeFill="background1"/>
            <w:vAlign w:val="center"/>
          </w:tcPr>
          <w:p w14:paraId="4E72DA96" w14:textId="77777777" w:rsidR="0009084A" w:rsidRPr="0009084A"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nil"/>
              <w:bottom w:val="nil"/>
            </w:tcBorders>
            <w:shd w:val="clear" w:color="auto" w:fill="FFFFFF" w:themeFill="background1"/>
            <w:vAlign w:val="center"/>
          </w:tcPr>
          <w:p w14:paraId="27389279" w14:textId="77777777" w:rsidR="0009084A" w:rsidRPr="0009084A"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p>
        </w:tc>
      </w:tr>
      <w:tr w:rsidR="0009084A" w:rsidRPr="002A690B" w14:paraId="62D3148A" w14:textId="77777777" w:rsidTr="0009084A">
        <w:trPr>
          <w:trHeight w:val="256"/>
        </w:trPr>
        <w:tc>
          <w:tcPr>
            <w:tcW w:w="6379" w:type="dxa"/>
            <w:tcBorders>
              <w:top w:val="nil"/>
              <w:bottom w:val="nil"/>
            </w:tcBorders>
            <w:shd w:val="clear" w:color="auto" w:fill="FFFFFF" w:themeFill="background1"/>
          </w:tcPr>
          <w:p w14:paraId="1F2055EB" w14:textId="5E96281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Μετοχικό κεφάλαιο</w:t>
            </w:r>
          </w:p>
        </w:tc>
        <w:tc>
          <w:tcPr>
            <w:tcW w:w="1985" w:type="dxa"/>
            <w:tcBorders>
              <w:top w:val="nil"/>
              <w:bottom w:val="nil"/>
            </w:tcBorders>
            <w:shd w:val="clear" w:color="auto" w:fill="FFFFFF" w:themeFill="background1"/>
            <w:vAlign w:val="center"/>
          </w:tcPr>
          <w:p w14:paraId="0D94041D" w14:textId="27557B3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1</w:t>
            </w:r>
            <w:r w:rsidR="005D2521">
              <w:rPr>
                <w:rFonts w:ascii="Arial" w:hAnsi="Arial" w:cs="Arial"/>
                <w:color w:val="000000" w:themeColor="text1"/>
                <w:sz w:val="18"/>
                <w:szCs w:val="18"/>
              </w:rPr>
              <w:t>.</w:t>
            </w:r>
            <w:r w:rsidRPr="00AF3467">
              <w:rPr>
                <w:rFonts w:ascii="Arial" w:hAnsi="Arial" w:cs="Arial"/>
                <w:color w:val="000000" w:themeColor="text1"/>
                <w:sz w:val="18"/>
                <w:szCs w:val="18"/>
              </w:rPr>
              <w:t>167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c>
          <w:tcPr>
            <w:tcW w:w="2126" w:type="dxa"/>
            <w:tcBorders>
              <w:top w:val="nil"/>
              <w:bottom w:val="nil"/>
            </w:tcBorders>
            <w:shd w:val="clear" w:color="auto" w:fill="FFFFFF" w:themeFill="background1"/>
            <w:vAlign w:val="center"/>
          </w:tcPr>
          <w:p w14:paraId="026E76E0" w14:textId="2FA5D3AE"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w:t>
            </w:r>
            <w:r w:rsidR="005D2521">
              <w:rPr>
                <w:rFonts w:ascii="Arial" w:hAnsi="Arial" w:cs="Arial"/>
                <w:color w:val="000000" w:themeColor="text1"/>
                <w:sz w:val="18"/>
                <w:szCs w:val="18"/>
              </w:rPr>
              <w:t>.</w:t>
            </w:r>
            <w:r w:rsidRPr="00AF3467">
              <w:rPr>
                <w:rFonts w:ascii="Arial" w:hAnsi="Arial" w:cs="Arial"/>
                <w:color w:val="000000" w:themeColor="text1"/>
                <w:sz w:val="18"/>
                <w:szCs w:val="18"/>
              </w:rPr>
              <w:t>182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4669C5A1" w14:textId="77777777" w:rsidTr="0009084A">
        <w:trPr>
          <w:trHeight w:val="256"/>
        </w:trPr>
        <w:tc>
          <w:tcPr>
            <w:tcW w:w="6379" w:type="dxa"/>
            <w:tcBorders>
              <w:top w:val="nil"/>
              <w:bottom w:val="nil"/>
            </w:tcBorders>
            <w:shd w:val="clear" w:color="auto" w:fill="FFFFFF" w:themeFill="background1"/>
          </w:tcPr>
          <w:p w14:paraId="699D32D2" w14:textId="418CD81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Αποθεματικό υπέρ το άρτιο </w:t>
            </w:r>
          </w:p>
        </w:tc>
        <w:tc>
          <w:tcPr>
            <w:tcW w:w="1985" w:type="dxa"/>
            <w:tcBorders>
              <w:top w:val="nil"/>
              <w:bottom w:val="nil"/>
            </w:tcBorders>
            <w:shd w:val="clear" w:color="auto" w:fill="FFFFFF" w:themeFill="background1"/>
            <w:vAlign w:val="center"/>
          </w:tcPr>
          <w:p w14:paraId="4A72F1ED" w14:textId="7FC8460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416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nil"/>
            </w:tcBorders>
            <w:shd w:val="clear" w:color="auto" w:fill="FFFFFF" w:themeFill="background1"/>
            <w:vAlign w:val="center"/>
          </w:tcPr>
          <w:p w14:paraId="36B7DB6D" w14:textId="4FDB896B"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422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r>
      <w:tr w:rsidR="0009084A" w:rsidRPr="002A690B" w14:paraId="2A989B8F" w14:textId="77777777" w:rsidTr="0009084A">
        <w:trPr>
          <w:trHeight w:val="256"/>
        </w:trPr>
        <w:tc>
          <w:tcPr>
            <w:tcW w:w="6379" w:type="dxa"/>
            <w:tcBorders>
              <w:top w:val="nil"/>
              <w:bottom w:val="nil"/>
            </w:tcBorders>
            <w:shd w:val="clear" w:color="auto" w:fill="FFFFFF" w:themeFill="background1"/>
          </w:tcPr>
          <w:p w14:paraId="2AF61A75" w14:textId="534ACD1C"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Ίδιες μετοχές </w:t>
            </w:r>
          </w:p>
        </w:tc>
        <w:tc>
          <w:tcPr>
            <w:tcW w:w="1985" w:type="dxa"/>
            <w:tcBorders>
              <w:top w:val="nil"/>
              <w:bottom w:val="nil"/>
            </w:tcBorders>
            <w:shd w:val="clear" w:color="auto" w:fill="FFFFFF" w:themeFill="background1"/>
            <w:vAlign w:val="center"/>
          </w:tcPr>
          <w:p w14:paraId="506B7850" w14:textId="4078B77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(104</w:t>
            </w:r>
            <w:r w:rsidR="005D2521">
              <w:rPr>
                <w:rFonts w:ascii="Arial" w:hAnsi="Arial" w:cs="Arial"/>
                <w:color w:val="000000" w:themeColor="text1"/>
                <w:sz w:val="18"/>
                <w:szCs w:val="18"/>
              </w:rPr>
              <w:t>,</w:t>
            </w:r>
            <w:r w:rsidRPr="00AF3467">
              <w:rPr>
                <w:rFonts w:ascii="Arial" w:hAnsi="Arial" w:cs="Arial"/>
                <w:color w:val="000000" w:themeColor="text1"/>
                <w:sz w:val="18"/>
                <w:szCs w:val="18"/>
              </w:rPr>
              <w:t>2)</w:t>
            </w:r>
          </w:p>
        </w:tc>
        <w:tc>
          <w:tcPr>
            <w:tcW w:w="2126" w:type="dxa"/>
            <w:tcBorders>
              <w:top w:val="nil"/>
              <w:bottom w:val="nil"/>
            </w:tcBorders>
            <w:shd w:val="clear" w:color="auto" w:fill="FFFFFF" w:themeFill="background1"/>
            <w:vAlign w:val="center"/>
          </w:tcPr>
          <w:p w14:paraId="45F38741" w14:textId="4A14A615"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(25</w:t>
            </w:r>
            <w:r w:rsidR="005D2521">
              <w:rPr>
                <w:rFonts w:ascii="Arial" w:hAnsi="Arial" w:cs="Arial"/>
                <w:color w:val="000000" w:themeColor="text1"/>
                <w:sz w:val="18"/>
                <w:szCs w:val="18"/>
              </w:rPr>
              <w:t>,</w:t>
            </w:r>
            <w:r w:rsidRPr="00AF3467">
              <w:rPr>
                <w:rFonts w:ascii="Arial" w:hAnsi="Arial" w:cs="Arial"/>
                <w:color w:val="000000" w:themeColor="text1"/>
                <w:sz w:val="18"/>
                <w:szCs w:val="18"/>
              </w:rPr>
              <w:t>3)</w:t>
            </w:r>
          </w:p>
        </w:tc>
      </w:tr>
      <w:tr w:rsidR="0009084A" w:rsidRPr="002A690B" w14:paraId="57003574" w14:textId="77777777" w:rsidTr="0009084A">
        <w:trPr>
          <w:trHeight w:val="256"/>
        </w:trPr>
        <w:tc>
          <w:tcPr>
            <w:tcW w:w="6379" w:type="dxa"/>
            <w:tcBorders>
              <w:top w:val="nil"/>
              <w:bottom w:val="nil"/>
            </w:tcBorders>
            <w:shd w:val="clear" w:color="auto" w:fill="FFFFFF" w:themeFill="background1"/>
          </w:tcPr>
          <w:p w14:paraId="5BE0C4F8" w14:textId="77AB9471"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Τακτικό αποθεματικό</w:t>
            </w:r>
          </w:p>
        </w:tc>
        <w:tc>
          <w:tcPr>
            <w:tcW w:w="1985" w:type="dxa"/>
            <w:tcBorders>
              <w:top w:val="nil"/>
              <w:bottom w:val="nil"/>
            </w:tcBorders>
            <w:shd w:val="clear" w:color="auto" w:fill="FFFFFF" w:themeFill="background1"/>
            <w:vAlign w:val="center"/>
          </w:tcPr>
          <w:p w14:paraId="4ED9B003" w14:textId="11E04E0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440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c>
          <w:tcPr>
            <w:tcW w:w="2126" w:type="dxa"/>
            <w:tcBorders>
              <w:top w:val="nil"/>
              <w:bottom w:val="nil"/>
            </w:tcBorders>
            <w:shd w:val="clear" w:color="auto" w:fill="FFFFFF" w:themeFill="background1"/>
            <w:vAlign w:val="center"/>
          </w:tcPr>
          <w:p w14:paraId="10423537" w14:textId="50BDB2C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440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2A690B" w14:paraId="460C39FA" w14:textId="77777777" w:rsidTr="0009084A">
        <w:trPr>
          <w:trHeight w:val="256"/>
        </w:trPr>
        <w:tc>
          <w:tcPr>
            <w:tcW w:w="6379" w:type="dxa"/>
            <w:tcBorders>
              <w:top w:val="nil"/>
              <w:bottom w:val="nil"/>
            </w:tcBorders>
            <w:shd w:val="clear" w:color="auto" w:fill="FFFFFF" w:themeFill="background1"/>
          </w:tcPr>
          <w:p w14:paraId="3A3089A6" w14:textId="0C6ABB20"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985" w:type="dxa"/>
            <w:tcBorders>
              <w:top w:val="nil"/>
              <w:bottom w:val="nil"/>
            </w:tcBorders>
            <w:shd w:val="clear" w:color="auto" w:fill="FFFFFF" w:themeFill="background1"/>
            <w:vAlign w:val="center"/>
          </w:tcPr>
          <w:p w14:paraId="7388175C" w14:textId="0F441EB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09084A">
              <w:rPr>
                <w:rFonts w:ascii="Arial" w:hAnsi="Arial" w:cs="Arial"/>
                <w:color w:val="000000" w:themeColor="text1"/>
                <w:sz w:val="18"/>
                <w:szCs w:val="18"/>
                <w:lang w:val="el-GR"/>
              </w:rPr>
              <w:t xml:space="preserve">                   </w:t>
            </w:r>
            <w:r w:rsidRPr="00AF3467">
              <w:rPr>
                <w:rFonts w:ascii="Arial" w:hAnsi="Arial" w:cs="Arial"/>
                <w:color w:val="000000" w:themeColor="text1"/>
                <w:sz w:val="18"/>
                <w:szCs w:val="18"/>
              </w:rPr>
              <w:t>(156</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46F527FF" w14:textId="177608D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(148</w:t>
            </w:r>
            <w:r w:rsidR="005D2521">
              <w:rPr>
                <w:rFonts w:ascii="Arial" w:hAnsi="Arial" w:cs="Arial"/>
                <w:color w:val="000000" w:themeColor="text1"/>
                <w:sz w:val="18"/>
                <w:szCs w:val="18"/>
              </w:rPr>
              <w:t>,</w:t>
            </w:r>
            <w:r w:rsidRPr="00AF3467">
              <w:rPr>
                <w:rFonts w:ascii="Arial" w:hAnsi="Arial" w:cs="Arial"/>
                <w:color w:val="000000" w:themeColor="text1"/>
                <w:sz w:val="18"/>
                <w:szCs w:val="18"/>
              </w:rPr>
              <w:t>2)</w:t>
            </w:r>
          </w:p>
        </w:tc>
      </w:tr>
      <w:tr w:rsidR="0009084A" w:rsidRPr="002A690B" w14:paraId="53EE1FEC" w14:textId="77777777" w:rsidTr="0009084A">
        <w:trPr>
          <w:trHeight w:val="156"/>
        </w:trPr>
        <w:tc>
          <w:tcPr>
            <w:tcW w:w="6379" w:type="dxa"/>
            <w:tcBorders>
              <w:top w:val="nil"/>
              <w:bottom w:val="nil"/>
            </w:tcBorders>
            <w:shd w:val="clear" w:color="auto" w:fill="FFFFFF" w:themeFill="background1"/>
          </w:tcPr>
          <w:p w14:paraId="7C04DD5D" w14:textId="759968B4"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Υπόλοιπο κερδών εις νέο</w:t>
            </w:r>
          </w:p>
        </w:tc>
        <w:tc>
          <w:tcPr>
            <w:tcW w:w="1985" w:type="dxa"/>
            <w:tcBorders>
              <w:top w:val="nil"/>
              <w:bottom w:val="nil"/>
            </w:tcBorders>
            <w:shd w:val="clear" w:color="auto" w:fill="FFFFFF" w:themeFill="background1"/>
            <w:vAlign w:val="center"/>
          </w:tcPr>
          <w:p w14:paraId="01DE0BDB" w14:textId="554B7BB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w:t>
            </w:r>
            <w:r w:rsidRPr="00AF3467">
              <w:rPr>
                <w:rFonts w:ascii="Arial" w:hAnsi="Arial" w:cs="Arial"/>
                <w:color w:val="000000" w:themeColor="text1"/>
                <w:sz w:val="18"/>
                <w:szCs w:val="18"/>
                <w:lang w:val="el-GR"/>
              </w:rPr>
              <w:t>200</w:t>
            </w:r>
            <w:r w:rsidR="005D2521">
              <w:rPr>
                <w:rFonts w:ascii="Arial" w:hAnsi="Arial" w:cs="Arial"/>
                <w:color w:val="000000" w:themeColor="text1"/>
                <w:sz w:val="18"/>
                <w:szCs w:val="18"/>
              </w:rPr>
              <w:t>,</w:t>
            </w:r>
            <w:r w:rsidRPr="00AF3467">
              <w:rPr>
                <w:rFonts w:ascii="Arial" w:hAnsi="Arial" w:cs="Arial"/>
                <w:color w:val="000000" w:themeColor="text1"/>
                <w:sz w:val="18"/>
                <w:szCs w:val="18"/>
                <w:lang w:val="el-GR"/>
              </w:rPr>
              <w:t>5</w:t>
            </w:r>
            <w:r w:rsidRPr="00AF3467">
              <w:rPr>
                <w:rFonts w:ascii="Arial" w:hAnsi="Arial" w:cs="Arial"/>
                <w:color w:val="000000" w:themeColor="text1"/>
                <w:sz w:val="18"/>
                <w:szCs w:val="18"/>
              </w:rPr>
              <w:t xml:space="preserve"> </w:t>
            </w:r>
          </w:p>
        </w:tc>
        <w:tc>
          <w:tcPr>
            <w:tcW w:w="2126" w:type="dxa"/>
            <w:tcBorders>
              <w:top w:val="nil"/>
              <w:bottom w:val="nil"/>
            </w:tcBorders>
            <w:shd w:val="clear" w:color="auto" w:fill="FFFFFF" w:themeFill="background1"/>
            <w:vAlign w:val="center"/>
          </w:tcPr>
          <w:p w14:paraId="3E7970EE" w14:textId="16745EA9"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2A690B" w14:paraId="4E975685" w14:textId="77777777" w:rsidTr="0009084A">
        <w:trPr>
          <w:trHeight w:val="256"/>
        </w:trPr>
        <w:tc>
          <w:tcPr>
            <w:tcW w:w="6379" w:type="dxa"/>
            <w:tcBorders>
              <w:top w:val="nil"/>
              <w:bottom w:val="nil"/>
            </w:tcBorders>
            <w:shd w:val="clear" w:color="auto" w:fill="FFFFFF" w:themeFill="background1"/>
            <w:vAlign w:val="center"/>
          </w:tcPr>
          <w:p w14:paraId="64541B0F" w14:textId="10F9E230" w:rsidR="0009084A" w:rsidRPr="0009084A" w:rsidRDefault="0009084A" w:rsidP="0009084A">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w:t>
            </w:r>
            <w:r>
              <w:rPr>
                <w:rFonts w:ascii="Arial" w:hAnsi="Arial" w:cs="Arial"/>
                <w:b/>
                <w:bCs/>
                <w:sz w:val="18"/>
                <w:szCs w:val="18"/>
                <w:lang w:val="el-GR"/>
              </w:rPr>
              <w:t>.</w:t>
            </w:r>
            <w:r w:rsidRPr="00702C16">
              <w:rPr>
                <w:rFonts w:ascii="Arial" w:hAnsi="Arial" w:cs="Arial"/>
                <w:b/>
                <w:bCs/>
                <w:sz w:val="18"/>
                <w:szCs w:val="18"/>
                <w:lang w:val="el-GR"/>
              </w:rPr>
              <w:t xml:space="preserve"> που αναλογούν </w:t>
            </w:r>
            <w:r>
              <w:rPr>
                <w:rFonts w:ascii="Arial" w:hAnsi="Arial" w:cs="Arial"/>
                <w:b/>
                <w:bCs/>
                <w:sz w:val="18"/>
                <w:szCs w:val="18"/>
                <w:lang w:val="el-GR"/>
              </w:rPr>
              <w:t xml:space="preserve">στους </w:t>
            </w:r>
            <w:r w:rsidRPr="0009084A">
              <w:rPr>
                <w:rFonts w:ascii="Arial" w:hAnsi="Arial" w:cs="Arial"/>
                <w:b/>
                <w:bCs/>
                <w:sz w:val="18"/>
                <w:szCs w:val="18"/>
                <w:lang w:val="el-GR"/>
              </w:rPr>
              <w:t>μετόχους της Εταιρείας</w:t>
            </w:r>
          </w:p>
        </w:tc>
        <w:tc>
          <w:tcPr>
            <w:tcW w:w="1985" w:type="dxa"/>
            <w:tcBorders>
              <w:top w:val="nil"/>
              <w:bottom w:val="nil"/>
            </w:tcBorders>
            <w:shd w:val="clear" w:color="auto" w:fill="FFFFFF" w:themeFill="background1"/>
            <w:vAlign w:val="center"/>
          </w:tcPr>
          <w:p w14:paraId="778D6C5D" w14:textId="4CB41582"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96</w:t>
            </w: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9</w:t>
            </w:r>
          </w:p>
        </w:tc>
        <w:tc>
          <w:tcPr>
            <w:tcW w:w="2126" w:type="dxa"/>
            <w:tcBorders>
              <w:top w:val="nil"/>
              <w:bottom w:val="nil"/>
            </w:tcBorders>
            <w:shd w:val="clear" w:color="auto" w:fill="FFFFFF" w:themeFill="background1"/>
            <w:vAlign w:val="center"/>
          </w:tcPr>
          <w:p w14:paraId="07832E64" w14:textId="18FE8B1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943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3 </w:t>
            </w:r>
          </w:p>
        </w:tc>
      </w:tr>
      <w:tr w:rsidR="0009084A" w:rsidRPr="002A690B" w14:paraId="5C78AE9A" w14:textId="77777777" w:rsidTr="0009084A">
        <w:trPr>
          <w:trHeight w:val="178"/>
        </w:trPr>
        <w:tc>
          <w:tcPr>
            <w:tcW w:w="6379" w:type="dxa"/>
            <w:tcBorders>
              <w:top w:val="nil"/>
              <w:bottom w:val="single" w:sz="2" w:space="0" w:color="808080" w:themeColor="background1" w:themeShade="80"/>
            </w:tcBorders>
            <w:shd w:val="clear" w:color="auto" w:fill="FFFFFF" w:themeFill="background1"/>
            <w:vAlign w:val="center"/>
          </w:tcPr>
          <w:p w14:paraId="5B561102" w14:textId="0A2DE341"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lang w:val="el-GR"/>
              </w:rPr>
              <w:t>Μη ελέγχουσες συμμετοχές</w:t>
            </w:r>
          </w:p>
        </w:tc>
        <w:tc>
          <w:tcPr>
            <w:tcW w:w="1985" w:type="dxa"/>
            <w:tcBorders>
              <w:top w:val="nil"/>
              <w:bottom w:val="single" w:sz="2" w:space="0" w:color="808080" w:themeColor="background1" w:themeShade="80"/>
            </w:tcBorders>
            <w:shd w:val="clear" w:color="auto" w:fill="FFFFFF" w:themeFill="background1"/>
            <w:vAlign w:val="center"/>
          </w:tcPr>
          <w:p w14:paraId="6B722FEB" w14:textId="7777777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w:t>
            </w:r>
          </w:p>
        </w:tc>
        <w:tc>
          <w:tcPr>
            <w:tcW w:w="2126" w:type="dxa"/>
            <w:tcBorders>
              <w:top w:val="nil"/>
              <w:bottom w:val="single" w:sz="2" w:space="0" w:color="808080" w:themeColor="background1" w:themeShade="80"/>
            </w:tcBorders>
            <w:shd w:val="clear" w:color="auto" w:fill="FFFFFF" w:themeFill="background1"/>
            <w:vAlign w:val="center"/>
          </w:tcPr>
          <w:p w14:paraId="16A53F43" w14:textId="37925A0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r>
      <w:tr w:rsidR="0009084A" w:rsidRPr="002A690B" w14:paraId="05BE7C3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44EBF0" w14:textId="1D73E924"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ιδίων κεφαλαίων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D039DA" w14:textId="33DA2786"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96</w:t>
            </w: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9</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484CFE" w14:textId="38AF874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943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8 </w:t>
            </w:r>
          </w:p>
        </w:tc>
      </w:tr>
      <w:tr w:rsidR="0009084A" w:rsidRPr="002A690B" w14:paraId="18094A8A"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033C958D" w14:textId="02C3CA39"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Μακροπρόθεσμες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45C3A913"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E3A2779"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2A690B" w14:paraId="279A5A42" w14:textId="77777777" w:rsidTr="0009084A">
        <w:trPr>
          <w:trHeight w:val="256"/>
        </w:trPr>
        <w:tc>
          <w:tcPr>
            <w:tcW w:w="6379" w:type="dxa"/>
            <w:tcBorders>
              <w:top w:val="nil"/>
              <w:bottom w:val="nil"/>
            </w:tcBorders>
            <w:shd w:val="clear" w:color="auto" w:fill="FFFFFF" w:themeFill="background1"/>
          </w:tcPr>
          <w:p w14:paraId="0E352E5C" w14:textId="2C318C6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Μακροπρόθεσμα δάνεια</w:t>
            </w:r>
          </w:p>
        </w:tc>
        <w:tc>
          <w:tcPr>
            <w:tcW w:w="1985" w:type="dxa"/>
            <w:tcBorders>
              <w:top w:val="nil"/>
              <w:bottom w:val="nil"/>
            </w:tcBorders>
            <w:shd w:val="clear" w:color="auto" w:fill="FFFFFF" w:themeFill="background1"/>
            <w:vAlign w:val="center"/>
          </w:tcPr>
          <w:p w14:paraId="5E0FECE4" w14:textId="442CD8B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848</w:t>
            </w:r>
            <w:r w:rsidR="005D2521">
              <w:rPr>
                <w:rFonts w:ascii="Arial" w:hAnsi="Arial" w:cs="Arial"/>
                <w:color w:val="000000" w:themeColor="text1"/>
                <w:sz w:val="18"/>
                <w:szCs w:val="18"/>
              </w:rPr>
              <w:t>,</w:t>
            </w:r>
            <w:r w:rsidRPr="00AF3467">
              <w:rPr>
                <w:rFonts w:ascii="Arial" w:hAnsi="Arial" w:cs="Arial"/>
                <w:color w:val="000000" w:themeColor="text1"/>
                <w:sz w:val="18"/>
                <w:szCs w:val="18"/>
              </w:rPr>
              <w:t>5</w:t>
            </w:r>
          </w:p>
        </w:tc>
        <w:tc>
          <w:tcPr>
            <w:tcW w:w="2126" w:type="dxa"/>
            <w:tcBorders>
              <w:top w:val="nil"/>
              <w:bottom w:val="nil"/>
            </w:tcBorders>
            <w:shd w:val="clear" w:color="auto" w:fill="FFFFFF" w:themeFill="background1"/>
            <w:vAlign w:val="center"/>
          </w:tcPr>
          <w:p w14:paraId="23FFCE4E" w14:textId="1ABDF538"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847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2A690B" w14:paraId="5A8C7849" w14:textId="77777777" w:rsidTr="0009084A">
        <w:trPr>
          <w:trHeight w:val="256"/>
        </w:trPr>
        <w:tc>
          <w:tcPr>
            <w:tcW w:w="6379" w:type="dxa"/>
            <w:tcBorders>
              <w:top w:val="nil"/>
              <w:bottom w:val="nil"/>
            </w:tcBorders>
            <w:shd w:val="clear" w:color="auto" w:fill="FFFFFF" w:themeFill="background1"/>
          </w:tcPr>
          <w:p w14:paraId="543F56AA" w14:textId="03E41EE5"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985" w:type="dxa"/>
            <w:tcBorders>
              <w:top w:val="nil"/>
              <w:bottom w:val="nil"/>
            </w:tcBorders>
            <w:shd w:val="clear" w:color="auto" w:fill="FFFFFF" w:themeFill="background1"/>
            <w:vAlign w:val="center"/>
          </w:tcPr>
          <w:p w14:paraId="01E39BD9" w14:textId="1D56EA2B"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109</w:t>
            </w:r>
            <w:r w:rsidR="005D2521">
              <w:rPr>
                <w:rFonts w:ascii="Arial" w:hAnsi="Arial" w:cs="Arial"/>
                <w:color w:val="000000" w:themeColor="text1"/>
                <w:sz w:val="18"/>
                <w:szCs w:val="18"/>
              </w:rPr>
              <w:t>,</w:t>
            </w:r>
            <w:r w:rsidRPr="00AF3467">
              <w:rPr>
                <w:rFonts w:ascii="Arial" w:hAnsi="Arial" w:cs="Arial"/>
                <w:color w:val="000000" w:themeColor="text1"/>
                <w:sz w:val="18"/>
                <w:szCs w:val="18"/>
              </w:rPr>
              <w:t>6</w:t>
            </w:r>
          </w:p>
        </w:tc>
        <w:tc>
          <w:tcPr>
            <w:tcW w:w="2126" w:type="dxa"/>
            <w:tcBorders>
              <w:top w:val="nil"/>
              <w:bottom w:val="nil"/>
            </w:tcBorders>
            <w:shd w:val="clear" w:color="auto" w:fill="FFFFFF" w:themeFill="background1"/>
            <w:vAlign w:val="center"/>
          </w:tcPr>
          <w:p w14:paraId="13DE8477" w14:textId="13CA6D04"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107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2A690B" w14:paraId="69C57CF2" w14:textId="77777777" w:rsidTr="0009084A">
        <w:trPr>
          <w:trHeight w:val="256"/>
        </w:trPr>
        <w:tc>
          <w:tcPr>
            <w:tcW w:w="6379" w:type="dxa"/>
            <w:tcBorders>
              <w:top w:val="nil"/>
              <w:bottom w:val="nil"/>
            </w:tcBorders>
            <w:shd w:val="clear" w:color="auto" w:fill="FFFFFF" w:themeFill="background1"/>
          </w:tcPr>
          <w:p w14:paraId="02B53582" w14:textId="6181E8A4"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Πρόβλεψη για λογαριασμό νεότητας</w:t>
            </w:r>
          </w:p>
        </w:tc>
        <w:tc>
          <w:tcPr>
            <w:tcW w:w="1985" w:type="dxa"/>
            <w:tcBorders>
              <w:top w:val="nil"/>
              <w:bottom w:val="nil"/>
            </w:tcBorders>
            <w:shd w:val="clear" w:color="auto" w:fill="FFFFFF" w:themeFill="background1"/>
            <w:vAlign w:val="center"/>
          </w:tcPr>
          <w:p w14:paraId="537728BC" w14:textId="363A3E34"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69</w:t>
            </w:r>
            <w:r w:rsidR="005D2521">
              <w:rPr>
                <w:rFonts w:ascii="Arial" w:hAnsi="Arial" w:cs="Arial"/>
                <w:color w:val="000000" w:themeColor="text1"/>
                <w:sz w:val="18"/>
                <w:szCs w:val="18"/>
              </w:rPr>
              <w:t>,</w:t>
            </w:r>
            <w:r w:rsidRPr="00AF3467">
              <w:rPr>
                <w:rFonts w:ascii="Arial" w:hAnsi="Arial" w:cs="Arial"/>
                <w:color w:val="000000" w:themeColor="text1"/>
                <w:sz w:val="18"/>
                <w:szCs w:val="18"/>
              </w:rPr>
              <w:t>0</w:t>
            </w:r>
          </w:p>
        </w:tc>
        <w:tc>
          <w:tcPr>
            <w:tcW w:w="2126" w:type="dxa"/>
            <w:tcBorders>
              <w:top w:val="nil"/>
              <w:bottom w:val="nil"/>
            </w:tcBorders>
            <w:shd w:val="clear" w:color="auto" w:fill="FFFFFF" w:themeFill="background1"/>
            <w:vAlign w:val="center"/>
          </w:tcPr>
          <w:p w14:paraId="1D62939C" w14:textId="58784E7B"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75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15EE5394" w14:textId="77777777" w:rsidTr="0009084A">
        <w:trPr>
          <w:trHeight w:val="256"/>
        </w:trPr>
        <w:tc>
          <w:tcPr>
            <w:tcW w:w="6379" w:type="dxa"/>
            <w:tcBorders>
              <w:top w:val="nil"/>
              <w:bottom w:val="nil"/>
            </w:tcBorders>
            <w:shd w:val="clear" w:color="auto" w:fill="FFFFFF" w:themeFill="background1"/>
          </w:tcPr>
          <w:p w14:paraId="3F656A6E" w14:textId="4FC6D749"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Συμβατικές υποχρεώσεις</w:t>
            </w:r>
          </w:p>
        </w:tc>
        <w:tc>
          <w:tcPr>
            <w:tcW w:w="1985" w:type="dxa"/>
            <w:tcBorders>
              <w:top w:val="nil"/>
              <w:bottom w:val="nil"/>
            </w:tcBorders>
            <w:shd w:val="clear" w:color="auto" w:fill="FFFFFF" w:themeFill="background1"/>
            <w:vAlign w:val="center"/>
          </w:tcPr>
          <w:p w14:paraId="23C13916" w14:textId="18891AB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78</w:t>
            </w:r>
            <w:r w:rsidR="005D2521">
              <w:rPr>
                <w:rFonts w:ascii="Arial" w:hAnsi="Arial" w:cs="Arial"/>
                <w:color w:val="000000" w:themeColor="text1"/>
                <w:sz w:val="18"/>
                <w:szCs w:val="18"/>
              </w:rPr>
              <w:t>,</w:t>
            </w:r>
            <w:r w:rsidRPr="00AF3467">
              <w:rPr>
                <w:rFonts w:ascii="Arial" w:hAnsi="Arial" w:cs="Arial"/>
                <w:color w:val="000000" w:themeColor="text1"/>
                <w:sz w:val="18"/>
                <w:szCs w:val="18"/>
              </w:rPr>
              <w:t>9</w:t>
            </w:r>
          </w:p>
        </w:tc>
        <w:tc>
          <w:tcPr>
            <w:tcW w:w="2126" w:type="dxa"/>
            <w:tcBorders>
              <w:top w:val="nil"/>
              <w:bottom w:val="nil"/>
            </w:tcBorders>
            <w:shd w:val="clear" w:color="auto" w:fill="FFFFFF" w:themeFill="background1"/>
            <w:vAlign w:val="center"/>
          </w:tcPr>
          <w:p w14:paraId="46B7D835" w14:textId="30F65215"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4613B257" w14:textId="77777777" w:rsidTr="0009084A">
        <w:trPr>
          <w:trHeight w:val="256"/>
        </w:trPr>
        <w:tc>
          <w:tcPr>
            <w:tcW w:w="6379" w:type="dxa"/>
            <w:tcBorders>
              <w:top w:val="nil"/>
              <w:bottom w:val="nil"/>
            </w:tcBorders>
            <w:shd w:val="clear" w:color="auto" w:fill="FFFFFF" w:themeFill="background1"/>
          </w:tcPr>
          <w:p w14:paraId="5ED42121" w14:textId="1A3DE11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Υποχρεώσεις από μισθώσεις</w:t>
            </w:r>
          </w:p>
        </w:tc>
        <w:tc>
          <w:tcPr>
            <w:tcW w:w="1985" w:type="dxa"/>
            <w:tcBorders>
              <w:top w:val="nil"/>
              <w:bottom w:val="nil"/>
            </w:tcBorders>
            <w:shd w:val="clear" w:color="auto" w:fill="FFFFFF" w:themeFill="background1"/>
            <w:vAlign w:val="center"/>
          </w:tcPr>
          <w:p w14:paraId="40DAF2AA" w14:textId="462C7B2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189</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2A9C37C1" w14:textId="4EE4AA9C"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184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3518B4B0" w14:textId="77777777" w:rsidTr="0009084A">
        <w:trPr>
          <w:trHeight w:val="256"/>
        </w:trPr>
        <w:tc>
          <w:tcPr>
            <w:tcW w:w="6379" w:type="dxa"/>
            <w:tcBorders>
              <w:top w:val="nil"/>
              <w:bottom w:val="nil"/>
            </w:tcBorders>
            <w:shd w:val="clear" w:color="auto" w:fill="FFFFFF" w:themeFill="background1"/>
          </w:tcPr>
          <w:p w14:paraId="62C51C04" w14:textId="52F0F37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Αναβαλλόμενες φορολογικές υποχρεώσεις</w:t>
            </w:r>
          </w:p>
        </w:tc>
        <w:tc>
          <w:tcPr>
            <w:tcW w:w="1985" w:type="dxa"/>
            <w:tcBorders>
              <w:top w:val="nil"/>
              <w:bottom w:val="nil"/>
            </w:tcBorders>
            <w:shd w:val="clear" w:color="auto" w:fill="FFFFFF" w:themeFill="background1"/>
            <w:vAlign w:val="center"/>
          </w:tcPr>
          <w:p w14:paraId="2B3487C6" w14:textId="7363A31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6</w:t>
            </w:r>
          </w:p>
        </w:tc>
        <w:tc>
          <w:tcPr>
            <w:tcW w:w="2126" w:type="dxa"/>
            <w:tcBorders>
              <w:top w:val="nil"/>
              <w:bottom w:val="nil"/>
            </w:tcBorders>
            <w:shd w:val="clear" w:color="auto" w:fill="FFFFFF" w:themeFill="background1"/>
            <w:vAlign w:val="center"/>
          </w:tcPr>
          <w:p w14:paraId="194988FB" w14:textId="01A2CE71"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2A690B" w14:paraId="4E22791D" w14:textId="77777777" w:rsidTr="0009084A">
        <w:trPr>
          <w:trHeight w:val="126"/>
        </w:trPr>
        <w:tc>
          <w:tcPr>
            <w:tcW w:w="6379" w:type="dxa"/>
            <w:tcBorders>
              <w:top w:val="nil"/>
              <w:bottom w:val="single" w:sz="2" w:space="0" w:color="808080" w:themeColor="background1" w:themeShade="80"/>
            </w:tcBorders>
            <w:shd w:val="clear" w:color="auto" w:fill="FFFFFF" w:themeFill="background1"/>
          </w:tcPr>
          <w:p w14:paraId="58AC9F1B" w14:textId="00B8FA58"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bCs/>
                <w:sz w:val="18"/>
                <w:szCs w:val="18"/>
                <w:lang w:val="el-GR"/>
              </w:rPr>
              <w:t>Λοιπές μακροπρόθεσμες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0515625D" w14:textId="2BEFA2CE" w:rsidR="0009084A" w:rsidRPr="00284899" w:rsidRDefault="00BA1B88" w:rsidP="0009084A">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themeColor="text1"/>
                <w:sz w:val="18"/>
                <w:szCs w:val="18"/>
                <w:lang w:val="el-GR"/>
              </w:rPr>
              <w:t>86,9</w:t>
            </w:r>
          </w:p>
        </w:tc>
        <w:tc>
          <w:tcPr>
            <w:tcW w:w="2126" w:type="dxa"/>
            <w:tcBorders>
              <w:top w:val="nil"/>
              <w:bottom w:val="single" w:sz="2" w:space="0" w:color="808080" w:themeColor="background1" w:themeShade="80"/>
            </w:tcBorders>
            <w:shd w:val="clear" w:color="auto" w:fill="FFFFFF" w:themeFill="background1"/>
            <w:vAlign w:val="center"/>
          </w:tcPr>
          <w:p w14:paraId="206B4428" w14:textId="196835F9"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43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2A690B" w14:paraId="4CEAEB6D"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EFD976" w14:textId="5368BAD7"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1C79891" w14:textId="020805E0" w:rsidR="0009084A" w:rsidRPr="00BA1B88"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3</w:t>
            </w:r>
            <w:r w:rsidRPr="00AF3467">
              <w:rPr>
                <w:rFonts w:ascii="Arial" w:hAnsi="Arial" w:cs="Arial"/>
                <w:b/>
                <w:color w:val="000000" w:themeColor="text1"/>
                <w:sz w:val="18"/>
                <w:szCs w:val="18"/>
                <w:lang w:val="el-GR"/>
              </w:rPr>
              <w:t>8</w:t>
            </w:r>
            <w:r w:rsidR="00BA1B88">
              <w:rPr>
                <w:rFonts w:ascii="Arial" w:hAnsi="Arial" w:cs="Arial"/>
                <w:b/>
                <w:color w:val="000000" w:themeColor="text1"/>
                <w:sz w:val="18"/>
                <w:szCs w:val="18"/>
                <w:lang w:val="el-GR"/>
              </w:rPr>
              <w:t>2,9</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34AD59" w14:textId="46287CEF"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343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8 </w:t>
            </w:r>
          </w:p>
        </w:tc>
      </w:tr>
      <w:tr w:rsidR="0009084A" w:rsidRPr="002A690B" w14:paraId="10F98235" w14:textId="77777777" w:rsidTr="0009084A">
        <w:trPr>
          <w:trHeight w:val="256"/>
        </w:trPr>
        <w:tc>
          <w:tcPr>
            <w:tcW w:w="6379" w:type="dxa"/>
            <w:tcBorders>
              <w:top w:val="single" w:sz="2" w:space="0" w:color="808080" w:themeColor="background1" w:themeShade="80"/>
              <w:bottom w:val="nil"/>
            </w:tcBorders>
            <w:shd w:val="clear" w:color="auto" w:fill="FFFFFF" w:themeFill="background1"/>
          </w:tcPr>
          <w:p w14:paraId="633DF19C" w14:textId="73D49EC6"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F010EF">
              <w:rPr>
                <w:rFonts w:ascii="Arial" w:hAnsi="Arial" w:cs="Arial"/>
                <w:b/>
                <w:sz w:val="18"/>
                <w:szCs w:val="18"/>
              </w:rPr>
              <w:t>Βραχυπρόθεσμες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70C605D3"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7DA68F5"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2A690B" w14:paraId="63C172EE" w14:textId="77777777" w:rsidTr="0009084A">
        <w:trPr>
          <w:trHeight w:val="256"/>
        </w:trPr>
        <w:tc>
          <w:tcPr>
            <w:tcW w:w="6379" w:type="dxa"/>
            <w:tcBorders>
              <w:top w:val="nil"/>
              <w:bottom w:val="nil"/>
            </w:tcBorders>
            <w:shd w:val="clear" w:color="auto" w:fill="FFFFFF" w:themeFill="background1"/>
          </w:tcPr>
          <w:p w14:paraId="1F070146" w14:textId="3EDC00F9"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Προμηθευτές </w:t>
            </w:r>
          </w:p>
        </w:tc>
        <w:tc>
          <w:tcPr>
            <w:tcW w:w="1985" w:type="dxa"/>
            <w:tcBorders>
              <w:top w:val="nil"/>
              <w:bottom w:val="nil"/>
            </w:tcBorders>
            <w:shd w:val="clear" w:color="auto" w:fill="FFFFFF" w:themeFill="background1"/>
            <w:vAlign w:val="center"/>
          </w:tcPr>
          <w:p w14:paraId="0931F9FD" w14:textId="301B03D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lang w:val="el-GR"/>
              </w:rPr>
            </w:pPr>
            <w:r w:rsidRPr="00AF3467">
              <w:rPr>
                <w:rFonts w:ascii="Arial" w:hAnsi="Arial" w:cs="Arial"/>
                <w:color w:val="000000" w:themeColor="text1"/>
                <w:sz w:val="18"/>
                <w:szCs w:val="18"/>
              </w:rPr>
              <w:t>8</w:t>
            </w:r>
            <w:r w:rsidRPr="00AF3467">
              <w:rPr>
                <w:rFonts w:ascii="Arial" w:hAnsi="Arial" w:cs="Arial"/>
                <w:color w:val="000000" w:themeColor="text1"/>
                <w:sz w:val="18"/>
                <w:szCs w:val="18"/>
                <w:lang w:val="el-GR"/>
              </w:rPr>
              <w:t>66</w:t>
            </w:r>
            <w:r w:rsidR="005D2521">
              <w:rPr>
                <w:rFonts w:ascii="Arial" w:hAnsi="Arial" w:cs="Arial"/>
                <w:color w:val="000000" w:themeColor="text1"/>
                <w:sz w:val="18"/>
                <w:szCs w:val="18"/>
              </w:rPr>
              <w:t>,</w:t>
            </w:r>
            <w:r w:rsidRPr="00AF3467">
              <w:rPr>
                <w:rFonts w:ascii="Arial" w:hAnsi="Arial" w:cs="Arial"/>
                <w:color w:val="000000" w:themeColor="text1"/>
                <w:sz w:val="18"/>
                <w:szCs w:val="18"/>
                <w:lang w:val="el-GR"/>
              </w:rPr>
              <w:t>4</w:t>
            </w:r>
          </w:p>
        </w:tc>
        <w:tc>
          <w:tcPr>
            <w:tcW w:w="2126" w:type="dxa"/>
            <w:tcBorders>
              <w:top w:val="nil"/>
              <w:bottom w:val="nil"/>
            </w:tcBorders>
            <w:shd w:val="clear" w:color="auto" w:fill="FFFFFF" w:themeFill="background1"/>
            <w:vAlign w:val="center"/>
          </w:tcPr>
          <w:p w14:paraId="5D5011A3" w14:textId="75B4B38E"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866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2A690B" w14:paraId="5C491197" w14:textId="77777777" w:rsidTr="0009084A">
        <w:trPr>
          <w:trHeight w:val="256"/>
        </w:trPr>
        <w:tc>
          <w:tcPr>
            <w:tcW w:w="6379" w:type="dxa"/>
            <w:tcBorders>
              <w:top w:val="nil"/>
              <w:bottom w:val="nil"/>
            </w:tcBorders>
            <w:shd w:val="clear" w:color="auto" w:fill="FFFFFF" w:themeFill="background1"/>
          </w:tcPr>
          <w:p w14:paraId="2F3CBCD2" w14:textId="191E31CB"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Φόρος εισοδήματος </w:t>
            </w:r>
          </w:p>
        </w:tc>
        <w:tc>
          <w:tcPr>
            <w:tcW w:w="1985" w:type="dxa"/>
            <w:tcBorders>
              <w:top w:val="nil"/>
              <w:bottom w:val="nil"/>
            </w:tcBorders>
            <w:shd w:val="clear" w:color="auto" w:fill="FFFFFF" w:themeFill="background1"/>
            <w:vAlign w:val="center"/>
          </w:tcPr>
          <w:p w14:paraId="61B8CD81" w14:textId="6981978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66</w:t>
            </w:r>
            <w:r w:rsidR="005D2521">
              <w:rPr>
                <w:rFonts w:ascii="Arial" w:hAnsi="Arial" w:cs="Arial"/>
                <w:color w:val="000000" w:themeColor="text1"/>
                <w:sz w:val="18"/>
                <w:szCs w:val="18"/>
              </w:rPr>
              <w:t>,</w:t>
            </w:r>
            <w:r w:rsidRPr="00AF3467">
              <w:rPr>
                <w:rFonts w:ascii="Arial" w:hAnsi="Arial" w:cs="Arial"/>
                <w:color w:val="000000" w:themeColor="text1"/>
                <w:sz w:val="18"/>
                <w:szCs w:val="18"/>
              </w:rPr>
              <w:t>9</w:t>
            </w:r>
          </w:p>
        </w:tc>
        <w:tc>
          <w:tcPr>
            <w:tcW w:w="2126" w:type="dxa"/>
            <w:tcBorders>
              <w:top w:val="nil"/>
              <w:bottom w:val="nil"/>
            </w:tcBorders>
            <w:shd w:val="clear" w:color="auto" w:fill="FFFFFF" w:themeFill="background1"/>
            <w:vAlign w:val="center"/>
          </w:tcPr>
          <w:p w14:paraId="09B0BCD6" w14:textId="2A773CEE"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95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2 </w:t>
            </w:r>
          </w:p>
        </w:tc>
      </w:tr>
      <w:tr w:rsidR="0009084A" w:rsidRPr="002A690B" w14:paraId="0212DA02" w14:textId="77777777" w:rsidTr="0009084A">
        <w:trPr>
          <w:trHeight w:val="256"/>
        </w:trPr>
        <w:tc>
          <w:tcPr>
            <w:tcW w:w="6379" w:type="dxa"/>
            <w:tcBorders>
              <w:top w:val="nil"/>
              <w:bottom w:val="nil"/>
            </w:tcBorders>
            <w:shd w:val="clear" w:color="auto" w:fill="FFFFFF" w:themeFill="background1"/>
          </w:tcPr>
          <w:p w14:paraId="4FC16CCA" w14:textId="3668EA59"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Συμβατικές υποχρεώσεις</w:t>
            </w:r>
          </w:p>
        </w:tc>
        <w:tc>
          <w:tcPr>
            <w:tcW w:w="1985" w:type="dxa"/>
            <w:tcBorders>
              <w:top w:val="nil"/>
              <w:bottom w:val="nil"/>
            </w:tcBorders>
            <w:shd w:val="clear" w:color="auto" w:fill="FFFFFF" w:themeFill="background1"/>
            <w:vAlign w:val="center"/>
          </w:tcPr>
          <w:p w14:paraId="55117B4C" w14:textId="50CD5C1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258</w:t>
            </w:r>
            <w:r w:rsidR="005D2521">
              <w:rPr>
                <w:rFonts w:ascii="Arial" w:hAnsi="Arial" w:cs="Arial"/>
                <w:color w:val="000000" w:themeColor="text1"/>
                <w:sz w:val="18"/>
                <w:szCs w:val="18"/>
              </w:rPr>
              <w:t>,</w:t>
            </w:r>
            <w:r w:rsidRPr="00AF3467">
              <w:rPr>
                <w:rFonts w:ascii="Arial" w:hAnsi="Arial" w:cs="Arial"/>
                <w:color w:val="000000" w:themeColor="text1"/>
                <w:sz w:val="18"/>
                <w:szCs w:val="18"/>
              </w:rPr>
              <w:t>9</w:t>
            </w:r>
          </w:p>
        </w:tc>
        <w:tc>
          <w:tcPr>
            <w:tcW w:w="2126" w:type="dxa"/>
            <w:tcBorders>
              <w:top w:val="nil"/>
              <w:bottom w:val="nil"/>
            </w:tcBorders>
            <w:shd w:val="clear" w:color="auto" w:fill="FFFFFF" w:themeFill="background1"/>
            <w:vAlign w:val="center"/>
          </w:tcPr>
          <w:p w14:paraId="1AB3E2DC" w14:textId="6E932B5A"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223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710D53BD" w14:textId="77777777" w:rsidTr="0009084A">
        <w:trPr>
          <w:trHeight w:val="256"/>
        </w:trPr>
        <w:tc>
          <w:tcPr>
            <w:tcW w:w="6379" w:type="dxa"/>
            <w:tcBorders>
              <w:top w:val="nil"/>
              <w:bottom w:val="nil"/>
            </w:tcBorders>
            <w:shd w:val="clear" w:color="auto" w:fill="FFFFFF" w:themeFill="background1"/>
          </w:tcPr>
          <w:p w14:paraId="69D94C7C" w14:textId="71F33B9C"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Υποχρεώσεις από μισθώσεις</w:t>
            </w:r>
          </w:p>
        </w:tc>
        <w:tc>
          <w:tcPr>
            <w:tcW w:w="1985" w:type="dxa"/>
            <w:tcBorders>
              <w:top w:val="nil"/>
              <w:bottom w:val="nil"/>
            </w:tcBorders>
            <w:shd w:val="clear" w:color="auto" w:fill="FFFFFF" w:themeFill="background1"/>
            <w:vAlign w:val="center"/>
          </w:tcPr>
          <w:p w14:paraId="0D0B97E6" w14:textId="6B71871D"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63</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10CF055C" w14:textId="69A77794"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60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r>
      <w:tr w:rsidR="0009084A" w:rsidRPr="002A690B" w14:paraId="0B4A1042" w14:textId="77777777" w:rsidTr="0009084A">
        <w:trPr>
          <w:trHeight w:val="256"/>
        </w:trPr>
        <w:tc>
          <w:tcPr>
            <w:tcW w:w="6379" w:type="dxa"/>
            <w:tcBorders>
              <w:top w:val="nil"/>
              <w:bottom w:val="nil"/>
            </w:tcBorders>
            <w:shd w:val="clear" w:color="auto" w:fill="FFFFFF" w:themeFill="background1"/>
          </w:tcPr>
          <w:p w14:paraId="60F339EC" w14:textId="1B42C35D"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Μερίσματα πληρωτέα</w:t>
            </w:r>
          </w:p>
        </w:tc>
        <w:tc>
          <w:tcPr>
            <w:tcW w:w="1985" w:type="dxa"/>
            <w:tcBorders>
              <w:top w:val="nil"/>
              <w:bottom w:val="nil"/>
            </w:tcBorders>
            <w:shd w:val="clear" w:color="auto" w:fill="FFFFFF" w:themeFill="background1"/>
            <w:vAlign w:val="center"/>
          </w:tcPr>
          <w:p w14:paraId="21D7C7EF" w14:textId="0F46CC0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6E1DE0E8" w14:textId="0CB3FB78"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r>
      <w:tr w:rsidR="0009084A" w:rsidRPr="002A690B" w14:paraId="1FB32682"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6F2542BA" w14:textId="6B4D8BA4"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Λοιπές βραχυπρόθεσμες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463DEFA0" w14:textId="3ACA1FD6" w:rsidR="0009084A" w:rsidRPr="00284899" w:rsidRDefault="00BA1B88" w:rsidP="0009084A">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themeColor="text1"/>
                <w:sz w:val="18"/>
                <w:szCs w:val="18"/>
                <w:lang w:val="el-GR"/>
              </w:rPr>
              <w:t>389,4</w:t>
            </w:r>
          </w:p>
        </w:tc>
        <w:tc>
          <w:tcPr>
            <w:tcW w:w="2126" w:type="dxa"/>
            <w:tcBorders>
              <w:top w:val="nil"/>
              <w:bottom w:val="single" w:sz="2" w:space="0" w:color="808080" w:themeColor="background1" w:themeShade="80"/>
            </w:tcBorders>
            <w:shd w:val="clear" w:color="auto" w:fill="FFFFFF" w:themeFill="background1"/>
            <w:vAlign w:val="center"/>
          </w:tcPr>
          <w:p w14:paraId="511EA52A" w14:textId="7CD6D669"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400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2A690B" w14:paraId="62A5A5EB"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0373200F" w14:textId="18F31003"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βραχυπρόθεσμων υποχρεώσεων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A4F18F" w14:textId="6B629B6D"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64</w:t>
            </w:r>
            <w:r w:rsidR="00BA1B88">
              <w:rPr>
                <w:rFonts w:ascii="Arial" w:hAnsi="Arial" w:cs="Arial"/>
                <w:b/>
                <w:color w:val="000000" w:themeColor="text1"/>
                <w:sz w:val="18"/>
                <w:szCs w:val="18"/>
                <w:lang w:val="el-GR"/>
              </w:rPr>
              <w:t>7,4</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2D3CE7F" w14:textId="540B2300"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648</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8 </w:t>
            </w:r>
          </w:p>
        </w:tc>
      </w:tr>
      <w:tr w:rsidR="0009084A" w:rsidRPr="002A690B" w14:paraId="057A57F3"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021A734" w14:textId="3FB9F943" w:rsidR="0009084A" w:rsidRPr="0009084A" w:rsidRDefault="0009084A" w:rsidP="0009084A">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ΣΥΝΟΛΟ ΙΔΙΩΝ ΚΕΦΑΛΑΙΩΝ ΚΑΙ ΥΠΟΧΡΕΩΣΕΩΝ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801E283" w14:textId="28E71236"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09084A">
              <w:rPr>
                <w:rFonts w:ascii="Arial" w:hAnsi="Arial" w:cs="Arial"/>
                <w:b/>
                <w:color w:val="000000" w:themeColor="text1"/>
                <w:sz w:val="18"/>
                <w:szCs w:val="18"/>
                <w:lang w:val="el-GR"/>
              </w:rPr>
              <w:t xml:space="preserve">          </w:t>
            </w: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lang w:val="el-GR"/>
              </w:rPr>
              <w:t>.</w:t>
            </w:r>
            <w:r w:rsidRPr="00AF3467">
              <w:rPr>
                <w:rFonts w:ascii="Arial" w:hAnsi="Arial" w:cs="Arial"/>
                <w:b/>
                <w:color w:val="000000" w:themeColor="text1"/>
                <w:sz w:val="18"/>
                <w:szCs w:val="18"/>
                <w:lang w:val="el-GR"/>
              </w:rPr>
              <w:t>995</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B5BA29D" w14:textId="30D54D93"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936</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4 </w:t>
            </w:r>
          </w:p>
        </w:tc>
      </w:tr>
    </w:tbl>
    <w:p w14:paraId="4C00D981" w14:textId="77777777" w:rsidR="006C4A28" w:rsidRDefault="006C4A28" w:rsidP="006C4A28">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ΕΝΟΠΟΙΗΜΕΝΗ ΚΑΤΑΣΤΑΣΗ ΑΠΟΤΕΛΕΣΜΑΤΩΝ </w:t>
      </w:r>
    </w:p>
    <w:p w14:paraId="5DDB675B" w14:textId="2594BD3E" w:rsidR="006C4A28" w:rsidRPr="00781597" w:rsidRDefault="006C4A28" w:rsidP="006C4A28">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2" behindDoc="0" locked="0" layoutInCell="1" allowOverlap="1" wp14:anchorId="6D1DA7D6" wp14:editId="25BCB8FA">
                <wp:simplePos x="0" y="0"/>
                <wp:positionH relativeFrom="column">
                  <wp:posOffset>2752</wp:posOffset>
                </wp:positionH>
                <wp:positionV relativeFrom="paragraph">
                  <wp:posOffset>11642</wp:posOffset>
                </wp:positionV>
                <wp:extent cx="664083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F727" id="Straight Connector 2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1161"/>
        <w:gridCol w:w="1195"/>
        <w:gridCol w:w="1281"/>
        <w:gridCol w:w="1083"/>
        <w:gridCol w:w="1083"/>
        <w:gridCol w:w="1083"/>
      </w:tblGrid>
      <w:tr w:rsidR="006C4A28" w:rsidRPr="0021215D" w14:paraId="59378232" w14:textId="77777777" w:rsidTr="00781597">
        <w:trPr>
          <w:trHeight w:val="68"/>
        </w:trPr>
        <w:tc>
          <w:tcPr>
            <w:tcW w:w="3784" w:type="dxa"/>
            <w:tcBorders>
              <w:bottom w:val="single" w:sz="2" w:space="0" w:color="808080" w:themeColor="background1" w:themeShade="80"/>
            </w:tcBorders>
            <w:vAlign w:val="center"/>
          </w:tcPr>
          <w:p w14:paraId="4518E50D" w14:textId="59274E69"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61" w:type="dxa"/>
            <w:tcBorders>
              <w:bottom w:val="single" w:sz="2" w:space="0" w:color="808080" w:themeColor="background1" w:themeShade="80"/>
            </w:tcBorders>
            <w:vAlign w:val="center"/>
          </w:tcPr>
          <w:p w14:paraId="6717F924"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Q4'24</w:t>
            </w:r>
          </w:p>
        </w:tc>
        <w:tc>
          <w:tcPr>
            <w:tcW w:w="1195" w:type="dxa"/>
            <w:tcBorders>
              <w:bottom w:val="single" w:sz="2" w:space="0" w:color="808080" w:themeColor="background1" w:themeShade="80"/>
            </w:tcBorders>
            <w:vAlign w:val="center"/>
          </w:tcPr>
          <w:p w14:paraId="1DBDB69E"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Q4'23</w:t>
            </w:r>
          </w:p>
        </w:tc>
        <w:tc>
          <w:tcPr>
            <w:tcW w:w="1281" w:type="dxa"/>
            <w:tcBorders>
              <w:bottom w:val="single" w:sz="2" w:space="0" w:color="808080" w:themeColor="background1" w:themeShade="80"/>
            </w:tcBorders>
            <w:vAlign w:val="center"/>
          </w:tcPr>
          <w:p w14:paraId="12138B64"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y-o-y</w:t>
            </w:r>
          </w:p>
        </w:tc>
        <w:tc>
          <w:tcPr>
            <w:tcW w:w="1083" w:type="dxa"/>
            <w:tcBorders>
              <w:bottom w:val="single" w:sz="2" w:space="0" w:color="808080" w:themeColor="background1" w:themeShade="80"/>
            </w:tcBorders>
            <w:vAlign w:val="center"/>
          </w:tcPr>
          <w:p w14:paraId="12D73374"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color w:val="000000" w:themeColor="text1"/>
                <w:sz w:val="18"/>
                <w:szCs w:val="18"/>
              </w:rPr>
              <w:t>12M'24</w:t>
            </w:r>
          </w:p>
        </w:tc>
        <w:tc>
          <w:tcPr>
            <w:tcW w:w="1083" w:type="dxa"/>
            <w:tcBorders>
              <w:bottom w:val="single" w:sz="2" w:space="0" w:color="808080" w:themeColor="background1" w:themeShade="80"/>
            </w:tcBorders>
            <w:vAlign w:val="center"/>
          </w:tcPr>
          <w:p w14:paraId="64DD9E7D"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color w:val="000000" w:themeColor="text1"/>
                <w:sz w:val="18"/>
                <w:szCs w:val="18"/>
              </w:rPr>
              <w:t>12M'23</w:t>
            </w:r>
          </w:p>
        </w:tc>
        <w:tc>
          <w:tcPr>
            <w:tcW w:w="1083" w:type="dxa"/>
            <w:tcBorders>
              <w:bottom w:val="single" w:sz="2" w:space="0" w:color="808080" w:themeColor="background1" w:themeShade="80"/>
            </w:tcBorders>
            <w:vAlign w:val="center"/>
          </w:tcPr>
          <w:p w14:paraId="251607D7"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color w:val="000000" w:themeColor="text1"/>
                <w:sz w:val="18"/>
                <w:szCs w:val="18"/>
              </w:rPr>
              <w:t>y-o-y</w:t>
            </w:r>
          </w:p>
        </w:tc>
      </w:tr>
      <w:tr w:rsidR="006C4A28" w:rsidRPr="0021215D" w14:paraId="61A9EA08" w14:textId="77777777" w:rsidTr="00744EE5">
        <w:trPr>
          <w:trHeight w:val="253"/>
        </w:trPr>
        <w:tc>
          <w:tcPr>
            <w:tcW w:w="3784" w:type="dxa"/>
            <w:tcBorders>
              <w:top w:val="single" w:sz="2" w:space="0" w:color="808080" w:themeColor="background1" w:themeShade="80"/>
              <w:right w:val="single" w:sz="2" w:space="0" w:color="808080" w:themeColor="background1" w:themeShade="80"/>
            </w:tcBorders>
            <w:vAlign w:val="center"/>
          </w:tcPr>
          <w:p w14:paraId="418A8FC1" w14:textId="6D2FC5A9"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161" w:type="dxa"/>
            <w:tcBorders>
              <w:top w:val="single" w:sz="2" w:space="0" w:color="808080" w:themeColor="background1" w:themeShade="80"/>
              <w:left w:val="single" w:sz="2" w:space="0" w:color="808080" w:themeColor="background1" w:themeShade="80"/>
            </w:tcBorders>
            <w:vAlign w:val="center"/>
          </w:tcPr>
          <w:p w14:paraId="7BB9C5E9"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195" w:type="dxa"/>
            <w:tcBorders>
              <w:top w:val="single" w:sz="2" w:space="0" w:color="808080" w:themeColor="background1" w:themeShade="80"/>
            </w:tcBorders>
            <w:vAlign w:val="center"/>
          </w:tcPr>
          <w:p w14:paraId="20EA83F1"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281" w:type="dxa"/>
            <w:tcBorders>
              <w:top w:val="single" w:sz="2" w:space="0" w:color="808080" w:themeColor="background1" w:themeShade="80"/>
              <w:right w:val="single" w:sz="2" w:space="0" w:color="808080" w:themeColor="background1" w:themeShade="80"/>
            </w:tcBorders>
            <w:vAlign w:val="center"/>
          </w:tcPr>
          <w:p w14:paraId="5FD4779C"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left w:val="single" w:sz="2" w:space="0" w:color="808080" w:themeColor="background1" w:themeShade="80"/>
            </w:tcBorders>
            <w:vAlign w:val="center"/>
          </w:tcPr>
          <w:p w14:paraId="74FD8B50"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tcBorders>
            <w:vAlign w:val="center"/>
          </w:tcPr>
          <w:p w14:paraId="3DD66EA1"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tcBorders>
            <w:vAlign w:val="center"/>
          </w:tcPr>
          <w:p w14:paraId="665EE5FC"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r>
      <w:tr w:rsidR="006C4A28" w:rsidRPr="0021215D" w14:paraId="7EBDCC61" w14:textId="77777777" w:rsidTr="00744EE5">
        <w:trPr>
          <w:trHeight w:val="253"/>
        </w:trPr>
        <w:tc>
          <w:tcPr>
            <w:tcW w:w="3784" w:type="dxa"/>
            <w:tcBorders>
              <w:right w:val="single" w:sz="2" w:space="0" w:color="808080" w:themeColor="background1" w:themeShade="80"/>
            </w:tcBorders>
            <w:vAlign w:val="center"/>
          </w:tcPr>
          <w:p w14:paraId="4E842DEA" w14:textId="1E668098"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Έσοδα λιανικής</w:t>
            </w:r>
          </w:p>
        </w:tc>
        <w:tc>
          <w:tcPr>
            <w:tcW w:w="1161" w:type="dxa"/>
            <w:tcBorders>
              <w:left w:val="single" w:sz="2" w:space="0" w:color="808080" w:themeColor="background1" w:themeShade="80"/>
            </w:tcBorders>
            <w:vAlign w:val="center"/>
          </w:tcPr>
          <w:p w14:paraId="3FE25142" w14:textId="27731E3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226</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195" w:type="dxa"/>
            <w:vAlign w:val="center"/>
          </w:tcPr>
          <w:p w14:paraId="6854365A" w14:textId="50C709F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230</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281" w:type="dxa"/>
            <w:tcBorders>
              <w:right w:val="single" w:sz="2" w:space="0" w:color="808080" w:themeColor="background1" w:themeShade="80"/>
            </w:tcBorders>
            <w:vAlign w:val="center"/>
          </w:tcPr>
          <w:p w14:paraId="01B611B0" w14:textId="1C68C90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left w:val="single" w:sz="2" w:space="0" w:color="808080" w:themeColor="background1" w:themeShade="80"/>
            </w:tcBorders>
            <w:vAlign w:val="center"/>
          </w:tcPr>
          <w:p w14:paraId="40D12B22" w14:textId="400B7A4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911</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vAlign w:val="center"/>
          </w:tcPr>
          <w:p w14:paraId="337098E9" w14:textId="57C9558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915</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083" w:type="dxa"/>
            <w:vAlign w:val="center"/>
          </w:tcPr>
          <w:p w14:paraId="01A70029" w14:textId="45DDE42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r>
      <w:tr w:rsidR="006C4A28" w:rsidRPr="0021215D" w14:paraId="5C72F874" w14:textId="77777777" w:rsidTr="00744EE5">
        <w:trPr>
          <w:trHeight w:val="253"/>
        </w:trPr>
        <w:tc>
          <w:tcPr>
            <w:tcW w:w="3784" w:type="dxa"/>
            <w:tcBorders>
              <w:right w:val="single" w:sz="2" w:space="0" w:color="808080" w:themeColor="background1" w:themeShade="80"/>
            </w:tcBorders>
            <w:vAlign w:val="center"/>
          </w:tcPr>
          <w:p w14:paraId="52569AE0" w14:textId="4A8AFD83"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Έσοδα χονδρικής</w:t>
            </w:r>
          </w:p>
        </w:tc>
        <w:tc>
          <w:tcPr>
            <w:tcW w:w="1161" w:type="dxa"/>
            <w:tcBorders>
              <w:left w:val="single" w:sz="2" w:space="0" w:color="808080" w:themeColor="background1" w:themeShade="80"/>
            </w:tcBorders>
            <w:vAlign w:val="center"/>
          </w:tcPr>
          <w:p w14:paraId="5F806F7F" w14:textId="11F4FB6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134</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vAlign w:val="center"/>
          </w:tcPr>
          <w:p w14:paraId="5D423918" w14:textId="6AE5710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156</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281" w:type="dxa"/>
            <w:tcBorders>
              <w:right w:val="single" w:sz="2" w:space="0" w:color="808080" w:themeColor="background1" w:themeShade="80"/>
            </w:tcBorders>
            <w:vAlign w:val="center"/>
          </w:tcPr>
          <w:p w14:paraId="50954561" w14:textId="43D035E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-13</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left w:val="single" w:sz="2" w:space="0" w:color="808080" w:themeColor="background1" w:themeShade="80"/>
            </w:tcBorders>
            <w:vAlign w:val="center"/>
          </w:tcPr>
          <w:p w14:paraId="09937727" w14:textId="6FF5CD4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583</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vAlign w:val="center"/>
          </w:tcPr>
          <w:p w14:paraId="794ECFA2" w14:textId="4D48BB3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572</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vAlign w:val="center"/>
          </w:tcPr>
          <w:p w14:paraId="5F806A18" w14:textId="021FE81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r>
      <w:tr w:rsidR="006C4A28" w:rsidRPr="0021215D" w14:paraId="36D1BBA1" w14:textId="77777777" w:rsidTr="00744EE5">
        <w:trPr>
          <w:trHeight w:val="253"/>
        </w:trPr>
        <w:tc>
          <w:tcPr>
            <w:tcW w:w="3784" w:type="dxa"/>
            <w:tcBorders>
              <w:bottom w:val="single" w:sz="2" w:space="0" w:color="808080" w:themeColor="background1" w:themeShade="80"/>
              <w:right w:val="single" w:sz="2" w:space="0" w:color="808080" w:themeColor="background1" w:themeShade="80"/>
            </w:tcBorders>
            <w:vAlign w:val="center"/>
          </w:tcPr>
          <w:p w14:paraId="41B25CE5" w14:textId="2DC550C4"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161" w:type="dxa"/>
            <w:tcBorders>
              <w:left w:val="single" w:sz="2" w:space="0" w:color="808080" w:themeColor="background1" w:themeShade="80"/>
              <w:bottom w:val="single" w:sz="2" w:space="0" w:color="808080" w:themeColor="background1" w:themeShade="80"/>
            </w:tcBorders>
            <w:vAlign w:val="center"/>
          </w:tcPr>
          <w:p w14:paraId="72A2A676" w14:textId="32C44CF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122</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tcBorders>
              <w:bottom w:val="single" w:sz="2" w:space="0" w:color="808080" w:themeColor="background1" w:themeShade="80"/>
            </w:tcBorders>
            <w:vAlign w:val="center"/>
          </w:tcPr>
          <w:p w14:paraId="64D904EF" w14:textId="636E57F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125</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281" w:type="dxa"/>
            <w:tcBorders>
              <w:bottom w:val="single" w:sz="2" w:space="0" w:color="808080" w:themeColor="background1" w:themeShade="80"/>
              <w:right w:val="single" w:sz="2" w:space="0" w:color="808080" w:themeColor="background1" w:themeShade="80"/>
            </w:tcBorders>
            <w:vAlign w:val="center"/>
          </w:tcPr>
          <w:p w14:paraId="749F3FA1" w14:textId="786C464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left w:val="single" w:sz="2" w:space="0" w:color="808080" w:themeColor="background1" w:themeShade="80"/>
              <w:bottom w:val="single" w:sz="2" w:space="0" w:color="808080" w:themeColor="background1" w:themeShade="80"/>
            </w:tcBorders>
            <w:vAlign w:val="center"/>
          </w:tcPr>
          <w:p w14:paraId="1C58F887" w14:textId="1ECB29A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450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bottom w:val="single" w:sz="2" w:space="0" w:color="808080" w:themeColor="background1" w:themeShade="80"/>
            </w:tcBorders>
            <w:vAlign w:val="center"/>
          </w:tcPr>
          <w:p w14:paraId="1C432265" w14:textId="4E9654E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373</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bottom w:val="single" w:sz="2" w:space="0" w:color="808080" w:themeColor="background1" w:themeShade="80"/>
            </w:tcBorders>
            <w:vAlign w:val="center"/>
          </w:tcPr>
          <w:p w14:paraId="568B3DE1" w14:textId="3F972C5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r>
      <w:tr w:rsidR="006C4A28" w:rsidRPr="0021215D" w14:paraId="7BE96C8A"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17CFA1" w14:textId="074A7A07"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Σύνολο εσόδων σταθερής τηλεφωνίας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85198C" w14:textId="21ED3494"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484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31E355" w14:textId="37C03409"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512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EAF4B2" w14:textId="0043FF70"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BA08B5" w14:textId="7F2D9C0C"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944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ED02DD" w14:textId="0D94F4C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861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A939C8C" w14:textId="51B50EE7"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r>
      <w:tr w:rsidR="006C4A28" w:rsidRPr="0021215D" w14:paraId="09BDB931" w14:textId="77777777" w:rsidTr="00744EE5">
        <w:trPr>
          <w:trHeight w:val="253"/>
        </w:trPr>
        <w:tc>
          <w:tcPr>
            <w:tcW w:w="3784" w:type="dxa"/>
            <w:tcBorders>
              <w:top w:val="single" w:sz="2" w:space="0" w:color="808080" w:themeColor="background1" w:themeShade="80"/>
              <w:right w:val="single" w:sz="2" w:space="0" w:color="808080" w:themeColor="background1" w:themeShade="80"/>
            </w:tcBorders>
            <w:vAlign w:val="center"/>
          </w:tcPr>
          <w:p w14:paraId="44F5E77D" w14:textId="373D22CA"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161" w:type="dxa"/>
            <w:tcBorders>
              <w:top w:val="single" w:sz="2" w:space="0" w:color="808080" w:themeColor="background1" w:themeShade="80"/>
              <w:left w:val="single" w:sz="2" w:space="0" w:color="808080" w:themeColor="background1" w:themeShade="80"/>
            </w:tcBorders>
            <w:vAlign w:val="center"/>
          </w:tcPr>
          <w:p w14:paraId="28BE7BE8"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195" w:type="dxa"/>
            <w:tcBorders>
              <w:top w:val="single" w:sz="2" w:space="0" w:color="808080" w:themeColor="background1" w:themeShade="80"/>
            </w:tcBorders>
            <w:vAlign w:val="center"/>
          </w:tcPr>
          <w:p w14:paraId="2EA4306D"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281" w:type="dxa"/>
            <w:tcBorders>
              <w:top w:val="single" w:sz="2" w:space="0" w:color="808080" w:themeColor="background1" w:themeShade="80"/>
              <w:right w:val="single" w:sz="2" w:space="0" w:color="808080" w:themeColor="background1" w:themeShade="80"/>
            </w:tcBorders>
            <w:vAlign w:val="center"/>
          </w:tcPr>
          <w:p w14:paraId="6BE28177"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left w:val="single" w:sz="2" w:space="0" w:color="808080" w:themeColor="background1" w:themeShade="80"/>
            </w:tcBorders>
            <w:vAlign w:val="center"/>
          </w:tcPr>
          <w:p w14:paraId="6B8D9116"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vAlign w:val="center"/>
          </w:tcPr>
          <w:p w14:paraId="3103F7B2"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vAlign w:val="center"/>
          </w:tcPr>
          <w:p w14:paraId="0042478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095EFB3F" w14:textId="77777777" w:rsidTr="00744EE5">
        <w:trPr>
          <w:trHeight w:val="253"/>
        </w:trPr>
        <w:tc>
          <w:tcPr>
            <w:tcW w:w="3784" w:type="dxa"/>
            <w:tcBorders>
              <w:right w:val="single" w:sz="2" w:space="0" w:color="808080" w:themeColor="background1" w:themeShade="80"/>
            </w:tcBorders>
            <w:vAlign w:val="center"/>
          </w:tcPr>
          <w:p w14:paraId="4E764F6A" w14:textId="3C68546D"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Έσοδα υπηρεσιών</w:t>
            </w:r>
          </w:p>
        </w:tc>
        <w:tc>
          <w:tcPr>
            <w:tcW w:w="1161" w:type="dxa"/>
            <w:tcBorders>
              <w:left w:val="single" w:sz="2" w:space="0" w:color="808080" w:themeColor="background1" w:themeShade="80"/>
            </w:tcBorders>
            <w:vAlign w:val="center"/>
          </w:tcPr>
          <w:p w14:paraId="2BD169B8" w14:textId="4BC0FAF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289</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195" w:type="dxa"/>
            <w:vAlign w:val="center"/>
          </w:tcPr>
          <w:p w14:paraId="1BD188B2" w14:textId="4613E3D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292</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281" w:type="dxa"/>
            <w:tcBorders>
              <w:right w:val="single" w:sz="2" w:space="0" w:color="808080" w:themeColor="background1" w:themeShade="80"/>
            </w:tcBorders>
            <w:vAlign w:val="center"/>
          </w:tcPr>
          <w:p w14:paraId="5075C7C4" w14:textId="36F51B0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left w:val="single" w:sz="2" w:space="0" w:color="808080" w:themeColor="background1" w:themeShade="80"/>
            </w:tcBorders>
            <w:vAlign w:val="center"/>
          </w:tcPr>
          <w:p w14:paraId="517D7F65" w14:textId="2E82280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191</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vAlign w:val="center"/>
          </w:tcPr>
          <w:p w14:paraId="568D33AF" w14:textId="5D65305B"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193</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vAlign w:val="center"/>
          </w:tcPr>
          <w:p w14:paraId="0204B34B" w14:textId="3A6C8CF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70A5BB3C" w14:textId="77777777" w:rsidTr="00744EE5">
        <w:trPr>
          <w:trHeight w:val="253"/>
        </w:trPr>
        <w:tc>
          <w:tcPr>
            <w:tcW w:w="3784" w:type="dxa"/>
            <w:tcBorders>
              <w:right w:val="single" w:sz="2" w:space="0" w:color="808080" w:themeColor="background1" w:themeShade="80"/>
            </w:tcBorders>
            <w:vAlign w:val="center"/>
          </w:tcPr>
          <w:p w14:paraId="1BD95FCE" w14:textId="6A323AC3"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Έσοδα πώλησης συσκευών</w:t>
            </w:r>
          </w:p>
        </w:tc>
        <w:tc>
          <w:tcPr>
            <w:tcW w:w="1161" w:type="dxa"/>
            <w:tcBorders>
              <w:left w:val="single" w:sz="2" w:space="0" w:color="808080" w:themeColor="background1" w:themeShade="80"/>
            </w:tcBorders>
            <w:vAlign w:val="center"/>
          </w:tcPr>
          <w:p w14:paraId="7D3D29FB" w14:textId="78E0BFE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96</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195" w:type="dxa"/>
            <w:vAlign w:val="center"/>
          </w:tcPr>
          <w:p w14:paraId="2E807011" w14:textId="00D87FA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93</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281" w:type="dxa"/>
            <w:tcBorders>
              <w:right w:val="single" w:sz="2" w:space="0" w:color="808080" w:themeColor="background1" w:themeShade="80"/>
            </w:tcBorders>
            <w:vAlign w:val="center"/>
          </w:tcPr>
          <w:p w14:paraId="1058115F" w14:textId="2C6478C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left w:val="single" w:sz="2" w:space="0" w:color="808080" w:themeColor="background1" w:themeShade="80"/>
            </w:tcBorders>
            <w:vAlign w:val="center"/>
          </w:tcPr>
          <w:p w14:paraId="1D9F3125" w14:textId="607EB7F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324</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vAlign w:val="center"/>
          </w:tcPr>
          <w:p w14:paraId="7F2D24CA" w14:textId="49248AC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300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vAlign w:val="center"/>
          </w:tcPr>
          <w:p w14:paraId="01E95D1C" w14:textId="4BAA5B1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+8</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r>
      <w:tr w:rsidR="006C4A28" w:rsidRPr="0021215D" w14:paraId="51CA7C36" w14:textId="77777777" w:rsidTr="00744EE5">
        <w:trPr>
          <w:trHeight w:val="253"/>
        </w:trPr>
        <w:tc>
          <w:tcPr>
            <w:tcW w:w="3784" w:type="dxa"/>
            <w:tcBorders>
              <w:bottom w:val="single" w:sz="2" w:space="0" w:color="808080" w:themeColor="background1" w:themeShade="80"/>
              <w:right w:val="single" w:sz="2" w:space="0" w:color="808080" w:themeColor="background1" w:themeShade="80"/>
            </w:tcBorders>
            <w:vAlign w:val="center"/>
          </w:tcPr>
          <w:p w14:paraId="210CD241" w14:textId="774B3720"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Λοιπά έσοδα</w:t>
            </w:r>
          </w:p>
        </w:tc>
        <w:tc>
          <w:tcPr>
            <w:tcW w:w="1161" w:type="dxa"/>
            <w:tcBorders>
              <w:left w:val="single" w:sz="2" w:space="0" w:color="808080" w:themeColor="background1" w:themeShade="80"/>
              <w:bottom w:val="single" w:sz="2" w:space="0" w:color="808080" w:themeColor="background1" w:themeShade="80"/>
            </w:tcBorders>
            <w:vAlign w:val="center"/>
          </w:tcPr>
          <w:p w14:paraId="03EACFEC" w14:textId="659E81E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tcBorders>
              <w:bottom w:val="single" w:sz="2" w:space="0" w:color="808080" w:themeColor="background1" w:themeShade="80"/>
            </w:tcBorders>
            <w:vAlign w:val="center"/>
          </w:tcPr>
          <w:p w14:paraId="62374F13" w14:textId="1095184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281" w:type="dxa"/>
            <w:tcBorders>
              <w:bottom w:val="single" w:sz="2" w:space="0" w:color="808080" w:themeColor="background1" w:themeShade="80"/>
              <w:right w:val="single" w:sz="2" w:space="0" w:color="808080" w:themeColor="background1" w:themeShade="80"/>
            </w:tcBorders>
            <w:vAlign w:val="center"/>
          </w:tcPr>
          <w:p w14:paraId="7EE16A89" w14:textId="51F9E7F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left w:val="single" w:sz="2" w:space="0" w:color="808080" w:themeColor="background1" w:themeShade="80"/>
              <w:bottom w:val="single" w:sz="2" w:space="0" w:color="808080" w:themeColor="background1" w:themeShade="80"/>
            </w:tcBorders>
            <w:vAlign w:val="center"/>
          </w:tcPr>
          <w:p w14:paraId="28C0F36C" w14:textId="11CDAB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21</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tcBorders>
              <w:bottom w:val="single" w:sz="2" w:space="0" w:color="808080" w:themeColor="background1" w:themeShade="80"/>
            </w:tcBorders>
            <w:vAlign w:val="center"/>
          </w:tcPr>
          <w:p w14:paraId="0D472E36" w14:textId="198F77AB"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17</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bottom w:val="single" w:sz="2" w:space="0" w:color="808080" w:themeColor="background1" w:themeShade="80"/>
            </w:tcBorders>
            <w:vAlign w:val="center"/>
          </w:tcPr>
          <w:p w14:paraId="7EC47507" w14:textId="71E666F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+24</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r>
      <w:tr w:rsidR="006C4A28" w:rsidRPr="0021215D" w14:paraId="3493B1C7"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0C0865" w14:textId="4F26A812"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sz w:val="18"/>
                <w:szCs w:val="18"/>
                <w:lang w:val="el-GR"/>
              </w:rPr>
              <w:t>Σύνολο εσόδων κινητής τηλεφωνίας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AAF04B" w14:textId="7610B540"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391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D152C6" w14:textId="60344F32"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390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61547D" w14:textId="0F1F7474"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5F32218" w14:textId="0F9A7EA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537</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6FAEA9" w14:textId="09C91B1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511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8C6F38" w14:textId="7B0AE5F2"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r>
      <w:tr w:rsidR="006C4A28" w:rsidRPr="0021215D" w14:paraId="118A350B" w14:textId="77777777" w:rsidTr="00781597">
        <w:trPr>
          <w:trHeight w:val="12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117F17E" w14:textId="77777777"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2E982C37"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EE511B9"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4E5B495"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0B4D91D2" w14:textId="7777777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9DFE906" w14:textId="7777777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DFB6CCF" w14:textId="7777777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rPr>
            </w:pPr>
          </w:p>
        </w:tc>
      </w:tr>
      <w:tr w:rsidR="006C4A28" w:rsidRPr="0021215D" w14:paraId="1F1BB1A3"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21936D" w14:textId="4621BC74"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Λοιπά έσοδα</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921B1C9" w14:textId="4EB65CAD"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28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AE4928" w14:textId="4BFDA425"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26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53954E7" w14:textId="74710BA7" w:rsidR="006C4A28" w:rsidRPr="00C17121" w:rsidRDefault="006C4A28" w:rsidP="006C4A28">
            <w:pPr>
              <w:jc w:val="center"/>
              <w:rPr>
                <w:rFonts w:ascii="Arial" w:hAnsi="Arial" w:cs="Arial"/>
                <w:b/>
                <w:bCs/>
                <w:color w:val="000000" w:themeColor="text1"/>
                <w:sz w:val="18"/>
                <w:szCs w:val="18"/>
                <w:lang w:val="el-GR"/>
              </w:rPr>
            </w:pPr>
            <w:r w:rsidRPr="00C17121">
              <w:rPr>
                <w:rFonts w:ascii="Arial" w:hAnsi="Arial" w:cs="Arial"/>
                <w:b/>
                <w:bCs/>
                <w:color w:val="000000" w:themeColor="text1"/>
                <w:sz w:val="18"/>
                <w:szCs w:val="18"/>
              </w:rPr>
              <w:t>+8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37B05CD" w14:textId="31FCE231" w:rsidR="006C4A28" w:rsidRPr="00C17121" w:rsidRDefault="006C4A28" w:rsidP="006C4A28">
            <w:pPr>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108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19A41D1" w14:textId="01FA7AD0" w:rsidR="006C4A28" w:rsidRPr="00C17121" w:rsidRDefault="006C4A28" w:rsidP="006C4A28">
            <w:pPr>
              <w:jc w:val="center"/>
              <w:rPr>
                <w:rFonts w:ascii="Arial" w:hAnsi="Arial" w:cs="Arial"/>
                <w:b/>
                <w:bCs/>
                <w:color w:val="000000" w:themeColor="text1"/>
                <w:sz w:val="18"/>
                <w:szCs w:val="18"/>
              </w:rPr>
            </w:pPr>
            <w:r w:rsidRPr="00C17121">
              <w:rPr>
                <w:rFonts w:ascii="Arial" w:hAnsi="Arial" w:cs="Arial"/>
                <w:b/>
                <w:bCs/>
                <w:color w:val="000000" w:themeColor="text1"/>
                <w:sz w:val="18"/>
                <w:szCs w:val="18"/>
              </w:rPr>
              <w:t>96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DBDF8B" w14:textId="7DABB49B" w:rsidR="006C4A28" w:rsidRPr="00C17121" w:rsidRDefault="006C4A28" w:rsidP="006C4A28">
            <w:pPr>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r>
      <w:tr w:rsidR="006C4A28" w:rsidRPr="0021215D" w14:paraId="6B0A947F" w14:textId="77777777" w:rsidTr="00744EE5">
        <w:trPr>
          <w:trHeight w:val="408"/>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6B814BE" w14:textId="2DEADD59"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Σύνολο κύκλου εργασιών</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F007823" w14:textId="10E7BED5"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905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00DE2FB" w14:textId="3BA9395B"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930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FC99239" w14:textId="3128EAB8"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2FB62C9" w14:textId="5975C723"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590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10976D5" w14:textId="4D52519B"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468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320C3F7" w14:textId="3F9F5D6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r>
      <w:tr w:rsidR="006C4A28" w:rsidRPr="0021215D" w14:paraId="084AD207" w14:textId="77777777" w:rsidTr="00781597">
        <w:trPr>
          <w:trHeight w:val="6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FEFCE11" w14:textId="7777777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DC11473"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33A7B68"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59D39E5"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1BC2DC7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D8F6ACA"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22008068"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4590772B" w14:textId="77777777" w:rsidTr="00744EE5">
        <w:trPr>
          <w:trHeight w:val="264"/>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680B85" w14:textId="2BA38608"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B7DDD">
              <w:rPr>
                <w:rFonts w:ascii="Arial" w:hAnsi="Arial" w:cs="Arial"/>
                <w:b/>
                <w:sz w:val="18"/>
                <w:szCs w:val="18"/>
                <w:lang w:val="el-GR"/>
              </w:rPr>
              <w:t>Λοιπά λειτουργικά εσοδα</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8EB0E6" w14:textId="4D85584B"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7</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825619C" w14:textId="7C7D40D4"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1E99C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r w:rsidRPr="00C17121">
              <w:rPr>
                <w:rFonts w:ascii="Arial" w:hAnsi="Arial" w:cs="Arial"/>
                <w:b/>
                <w:color w:val="000000" w:themeColor="text1"/>
                <w:sz w:val="18"/>
                <w:szCs w:val="18"/>
                <w:lang w:val="el-GR"/>
              </w:rPr>
              <w:t>-</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FD532A" w14:textId="12D28DB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6C21D7" w14:textId="322B48F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D5AF5B2" w14:textId="4ACB1506"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+28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r>
      <w:tr w:rsidR="006C4A28" w:rsidRPr="0021215D" w14:paraId="1C0224A1" w14:textId="77777777" w:rsidTr="00744EE5">
        <w:trPr>
          <w:trHeight w:val="253"/>
        </w:trPr>
        <w:tc>
          <w:tcPr>
            <w:tcW w:w="3784"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52388DBA" w14:textId="77421DE6"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sz w:val="18"/>
                <w:szCs w:val="18"/>
                <w:lang w:val="el-GR"/>
              </w:rPr>
              <w:t>Λειτουργικά έξοδα</w:t>
            </w:r>
          </w:p>
        </w:tc>
        <w:tc>
          <w:tcPr>
            <w:tcW w:w="1161"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5EA201FE"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tcBorders>
            <w:shd w:val="clear" w:color="auto" w:fill="FFFFFF" w:themeFill="background1"/>
            <w:vAlign w:val="center"/>
          </w:tcPr>
          <w:p w14:paraId="08335CEC"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35806F93"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1B4529D4"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shd w:val="clear" w:color="auto" w:fill="FFFFFF" w:themeFill="background1"/>
            <w:vAlign w:val="center"/>
          </w:tcPr>
          <w:p w14:paraId="4762722C"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shd w:val="clear" w:color="auto" w:fill="FFFFFF" w:themeFill="background1"/>
            <w:vAlign w:val="center"/>
          </w:tcPr>
          <w:p w14:paraId="26C2D8C1"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5AE63336"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1943F707" w14:textId="1B9D8D39"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διασύνδεσης και περιαγωγής</w:t>
            </w:r>
          </w:p>
        </w:tc>
        <w:tc>
          <w:tcPr>
            <w:tcW w:w="1161" w:type="dxa"/>
            <w:tcBorders>
              <w:left w:val="single" w:sz="2" w:space="0" w:color="808080" w:themeColor="background1" w:themeShade="80"/>
            </w:tcBorders>
            <w:shd w:val="clear" w:color="auto" w:fill="FFFFFF" w:themeFill="background1"/>
            <w:vAlign w:val="center"/>
          </w:tcPr>
          <w:p w14:paraId="5F688668" w14:textId="4F552DE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(101</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195" w:type="dxa"/>
            <w:shd w:val="clear" w:color="auto" w:fill="FFFFFF" w:themeFill="background1"/>
            <w:vAlign w:val="center"/>
          </w:tcPr>
          <w:p w14:paraId="47F92CD5" w14:textId="3FF8BB8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(127</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281" w:type="dxa"/>
            <w:tcBorders>
              <w:right w:val="single" w:sz="2" w:space="0" w:color="808080" w:themeColor="background1" w:themeShade="80"/>
            </w:tcBorders>
            <w:shd w:val="clear" w:color="auto" w:fill="FFFFFF" w:themeFill="background1"/>
            <w:vAlign w:val="center"/>
          </w:tcPr>
          <w:p w14:paraId="3D39B42E" w14:textId="4DA7EF7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083" w:type="dxa"/>
            <w:tcBorders>
              <w:left w:val="single" w:sz="2" w:space="0" w:color="808080" w:themeColor="background1" w:themeShade="80"/>
            </w:tcBorders>
            <w:shd w:val="clear" w:color="auto" w:fill="FFFFFF" w:themeFill="background1"/>
            <w:vAlign w:val="center"/>
          </w:tcPr>
          <w:p w14:paraId="69C22984" w14:textId="447D6C4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(445</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shd w:val="clear" w:color="auto" w:fill="FFFFFF" w:themeFill="background1"/>
            <w:vAlign w:val="center"/>
          </w:tcPr>
          <w:p w14:paraId="58BFA0DE" w14:textId="3B864DC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(442</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4A8B3E6A" w14:textId="15F28CFB"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r>
      <w:tr w:rsidR="006C4A28" w:rsidRPr="0021215D" w14:paraId="0CBAF1FA"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4C477C21" w14:textId="5030052E"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sz w:val="18"/>
                <w:szCs w:val="18"/>
                <w:lang w:val="el-GR"/>
              </w:rPr>
              <w:t>Πρόβλεψη για αναμενόμενες πιστωτικές ζημιές</w:t>
            </w:r>
          </w:p>
        </w:tc>
        <w:tc>
          <w:tcPr>
            <w:tcW w:w="1161" w:type="dxa"/>
            <w:tcBorders>
              <w:left w:val="single" w:sz="2" w:space="0" w:color="808080" w:themeColor="background1" w:themeShade="80"/>
            </w:tcBorders>
            <w:shd w:val="clear" w:color="auto" w:fill="FFFFFF" w:themeFill="background1"/>
            <w:vAlign w:val="center"/>
          </w:tcPr>
          <w:p w14:paraId="6D71CBD6" w14:textId="33F3EE4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195" w:type="dxa"/>
            <w:shd w:val="clear" w:color="auto" w:fill="FFFFFF" w:themeFill="background1"/>
            <w:vAlign w:val="center"/>
          </w:tcPr>
          <w:p w14:paraId="41A5C661" w14:textId="45682E3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281" w:type="dxa"/>
            <w:tcBorders>
              <w:right w:val="single" w:sz="2" w:space="0" w:color="808080" w:themeColor="background1" w:themeShade="80"/>
            </w:tcBorders>
            <w:shd w:val="clear" w:color="auto" w:fill="FFFFFF" w:themeFill="background1"/>
            <w:vAlign w:val="center"/>
          </w:tcPr>
          <w:p w14:paraId="0FB857F9" w14:textId="53BBC10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-18</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left w:val="single" w:sz="2" w:space="0" w:color="808080" w:themeColor="background1" w:themeShade="80"/>
            </w:tcBorders>
            <w:shd w:val="clear" w:color="auto" w:fill="FFFFFF" w:themeFill="background1"/>
            <w:vAlign w:val="center"/>
          </w:tcPr>
          <w:p w14:paraId="2E13B20A" w14:textId="38E0181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(34</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shd w:val="clear" w:color="auto" w:fill="FFFFFF" w:themeFill="background1"/>
            <w:vAlign w:val="center"/>
          </w:tcPr>
          <w:p w14:paraId="44A20785" w14:textId="7E6302B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(37</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170743A6" w14:textId="34945C7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68759BB4"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7AE1BFE9" w14:textId="03D2C6CE"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Αποδοχές προσωπικού</w:t>
            </w:r>
          </w:p>
        </w:tc>
        <w:tc>
          <w:tcPr>
            <w:tcW w:w="1161" w:type="dxa"/>
            <w:tcBorders>
              <w:left w:val="single" w:sz="2" w:space="0" w:color="808080" w:themeColor="background1" w:themeShade="80"/>
            </w:tcBorders>
            <w:shd w:val="clear" w:color="auto" w:fill="FFFFFF" w:themeFill="background1"/>
            <w:vAlign w:val="center"/>
          </w:tcPr>
          <w:p w14:paraId="418C4169" w14:textId="1CA2489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(94</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195" w:type="dxa"/>
            <w:shd w:val="clear" w:color="auto" w:fill="FFFFFF" w:themeFill="background1"/>
            <w:vAlign w:val="center"/>
          </w:tcPr>
          <w:p w14:paraId="3CB6250C" w14:textId="18F35FE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(99</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281" w:type="dxa"/>
            <w:tcBorders>
              <w:right w:val="single" w:sz="2" w:space="0" w:color="808080" w:themeColor="background1" w:themeShade="80"/>
            </w:tcBorders>
            <w:shd w:val="clear" w:color="auto" w:fill="FFFFFF" w:themeFill="background1"/>
            <w:vAlign w:val="center"/>
          </w:tcPr>
          <w:p w14:paraId="32B81746" w14:textId="089E710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tcBorders>
              <w:left w:val="single" w:sz="2" w:space="0" w:color="808080" w:themeColor="background1" w:themeShade="80"/>
            </w:tcBorders>
            <w:shd w:val="clear" w:color="auto" w:fill="FFFFFF" w:themeFill="background1"/>
            <w:vAlign w:val="center"/>
          </w:tcPr>
          <w:p w14:paraId="5B61B112" w14:textId="7C6A5D3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(400</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4DD2D4CF" w14:textId="16FC40F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(421</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shd w:val="clear" w:color="auto" w:fill="FFFFFF" w:themeFill="background1"/>
            <w:vAlign w:val="center"/>
          </w:tcPr>
          <w:p w14:paraId="2C3AD7CD" w14:textId="1504706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r>
      <w:tr w:rsidR="006C4A28" w:rsidRPr="0021215D" w14:paraId="4D406B4F"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02E32621" w14:textId="46C5FFEF"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161" w:type="dxa"/>
            <w:tcBorders>
              <w:left w:val="single" w:sz="2" w:space="0" w:color="808080" w:themeColor="background1" w:themeShade="80"/>
            </w:tcBorders>
            <w:shd w:val="clear" w:color="auto" w:fill="FFFFFF" w:themeFill="background1"/>
            <w:vAlign w:val="center"/>
          </w:tcPr>
          <w:p w14:paraId="5F3A7C61" w14:textId="7DC111C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195" w:type="dxa"/>
            <w:shd w:val="clear" w:color="auto" w:fill="FFFFFF" w:themeFill="background1"/>
            <w:vAlign w:val="center"/>
          </w:tcPr>
          <w:p w14:paraId="61C27E83" w14:textId="2CA66EE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281" w:type="dxa"/>
            <w:tcBorders>
              <w:right w:val="single" w:sz="2" w:space="0" w:color="808080" w:themeColor="background1" w:themeShade="80"/>
            </w:tcBorders>
            <w:shd w:val="clear" w:color="auto" w:fill="FFFFFF" w:themeFill="background1"/>
            <w:vAlign w:val="center"/>
          </w:tcPr>
          <w:p w14:paraId="7D7C604C" w14:textId="703A82E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-47</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left w:val="single" w:sz="2" w:space="0" w:color="808080" w:themeColor="background1" w:themeShade="80"/>
            </w:tcBorders>
            <w:shd w:val="clear" w:color="auto" w:fill="FFFFFF" w:themeFill="background1"/>
            <w:vAlign w:val="center"/>
          </w:tcPr>
          <w:p w14:paraId="2787355A" w14:textId="5757D61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(33</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shd w:val="clear" w:color="auto" w:fill="FFFFFF" w:themeFill="background1"/>
            <w:vAlign w:val="center"/>
          </w:tcPr>
          <w:p w14:paraId="09168D59" w14:textId="4D8278D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(35</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shd w:val="clear" w:color="auto" w:fill="FFFFFF" w:themeFill="background1"/>
            <w:vAlign w:val="center"/>
          </w:tcPr>
          <w:p w14:paraId="41394608" w14:textId="7FF6B75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1DCF3432"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3B619DB3" w14:textId="365D9232"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εμπορικών προμηθειών</w:t>
            </w:r>
          </w:p>
        </w:tc>
        <w:tc>
          <w:tcPr>
            <w:tcW w:w="1161" w:type="dxa"/>
            <w:tcBorders>
              <w:left w:val="single" w:sz="2" w:space="0" w:color="808080" w:themeColor="background1" w:themeShade="80"/>
            </w:tcBorders>
            <w:shd w:val="clear" w:color="auto" w:fill="FFFFFF" w:themeFill="background1"/>
            <w:vAlign w:val="center"/>
          </w:tcPr>
          <w:p w14:paraId="2AEBBA5D" w14:textId="60363A5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(27</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195" w:type="dxa"/>
            <w:shd w:val="clear" w:color="auto" w:fill="FFFFFF" w:themeFill="background1"/>
            <w:vAlign w:val="center"/>
          </w:tcPr>
          <w:p w14:paraId="30594F90" w14:textId="104CF20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(25</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281" w:type="dxa"/>
            <w:tcBorders>
              <w:right w:val="single" w:sz="2" w:space="0" w:color="808080" w:themeColor="background1" w:themeShade="80"/>
            </w:tcBorders>
            <w:shd w:val="clear" w:color="auto" w:fill="FFFFFF" w:themeFill="background1"/>
            <w:vAlign w:val="center"/>
          </w:tcPr>
          <w:p w14:paraId="6D4E0F9E" w14:textId="35AE580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tcBorders>
            <w:shd w:val="clear" w:color="auto" w:fill="FFFFFF" w:themeFill="background1"/>
            <w:vAlign w:val="center"/>
          </w:tcPr>
          <w:p w14:paraId="66BA051A" w14:textId="7CA6FDA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(97</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shd w:val="clear" w:color="auto" w:fill="FFFFFF" w:themeFill="background1"/>
            <w:vAlign w:val="center"/>
          </w:tcPr>
          <w:p w14:paraId="09629515" w14:textId="11D79BE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shd w:val="clear" w:color="auto" w:fill="FFFFFF" w:themeFill="background1"/>
            <w:vAlign w:val="center"/>
          </w:tcPr>
          <w:p w14:paraId="25FE09EB" w14:textId="3E95428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+8</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r>
      <w:tr w:rsidR="006C4A28" w:rsidRPr="0021215D" w14:paraId="6C34042B"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31122201" w14:textId="27D9BC83"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Κόστος εμπορευμάτων</w:t>
            </w:r>
          </w:p>
        </w:tc>
        <w:tc>
          <w:tcPr>
            <w:tcW w:w="1161" w:type="dxa"/>
            <w:tcBorders>
              <w:left w:val="single" w:sz="2" w:space="0" w:color="808080" w:themeColor="background1" w:themeShade="80"/>
            </w:tcBorders>
            <w:shd w:val="clear" w:color="auto" w:fill="FFFFFF" w:themeFill="background1"/>
            <w:vAlign w:val="center"/>
          </w:tcPr>
          <w:p w14:paraId="1FAF50EA" w14:textId="6E97CDF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(109</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shd w:val="clear" w:color="auto" w:fill="FFFFFF" w:themeFill="background1"/>
            <w:vAlign w:val="center"/>
          </w:tcPr>
          <w:p w14:paraId="23BFDE9A" w14:textId="681F86E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(127</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281" w:type="dxa"/>
            <w:tcBorders>
              <w:right w:val="single" w:sz="2" w:space="0" w:color="808080" w:themeColor="background1" w:themeShade="80"/>
            </w:tcBorders>
            <w:shd w:val="clear" w:color="auto" w:fill="FFFFFF" w:themeFill="background1"/>
            <w:vAlign w:val="center"/>
          </w:tcPr>
          <w:p w14:paraId="12CB7943" w14:textId="0379266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-14</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tcBorders>
            <w:shd w:val="clear" w:color="auto" w:fill="FFFFFF" w:themeFill="background1"/>
            <w:vAlign w:val="center"/>
          </w:tcPr>
          <w:p w14:paraId="22F7C57A" w14:textId="48A32B2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(388</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shd w:val="clear" w:color="auto" w:fill="FFFFFF" w:themeFill="background1"/>
            <w:vAlign w:val="center"/>
          </w:tcPr>
          <w:p w14:paraId="165F8D66" w14:textId="31DECE4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(377</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6AC03EBF" w14:textId="2258C89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r>
      <w:tr w:rsidR="006C4A28" w:rsidRPr="0021215D" w14:paraId="026CF4C7"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2290DD35" w14:textId="14238D33"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συντήρησης και επισκευών</w:t>
            </w:r>
          </w:p>
        </w:tc>
        <w:tc>
          <w:tcPr>
            <w:tcW w:w="1161" w:type="dxa"/>
            <w:tcBorders>
              <w:left w:val="single" w:sz="2" w:space="0" w:color="808080" w:themeColor="background1" w:themeShade="80"/>
            </w:tcBorders>
            <w:shd w:val="clear" w:color="auto" w:fill="FFFFFF" w:themeFill="background1"/>
            <w:vAlign w:val="center"/>
          </w:tcPr>
          <w:p w14:paraId="2A831033" w14:textId="1F3DA34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(15</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195" w:type="dxa"/>
            <w:shd w:val="clear" w:color="auto" w:fill="FFFFFF" w:themeFill="background1"/>
            <w:vAlign w:val="center"/>
          </w:tcPr>
          <w:p w14:paraId="0111351F" w14:textId="0B97488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(22</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281" w:type="dxa"/>
            <w:tcBorders>
              <w:right w:val="single" w:sz="2" w:space="0" w:color="808080" w:themeColor="background1" w:themeShade="80"/>
            </w:tcBorders>
            <w:shd w:val="clear" w:color="auto" w:fill="FFFFFF" w:themeFill="background1"/>
            <w:vAlign w:val="center"/>
          </w:tcPr>
          <w:p w14:paraId="0C2F8968" w14:textId="484CB97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-30</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left w:val="single" w:sz="2" w:space="0" w:color="808080" w:themeColor="background1" w:themeShade="80"/>
            </w:tcBorders>
            <w:shd w:val="clear" w:color="auto" w:fill="FFFFFF" w:themeFill="background1"/>
            <w:vAlign w:val="center"/>
          </w:tcPr>
          <w:p w14:paraId="16B71587" w14:textId="6362EC1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(87</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shd w:val="clear" w:color="auto" w:fill="FFFFFF" w:themeFill="background1"/>
            <w:vAlign w:val="center"/>
          </w:tcPr>
          <w:p w14:paraId="08C1AA9C" w14:textId="13CCF5E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(91</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shd w:val="clear" w:color="auto" w:fill="FFFFFF" w:themeFill="background1"/>
            <w:vAlign w:val="center"/>
          </w:tcPr>
          <w:p w14:paraId="08BAD43E" w14:textId="30B9C6D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r>
      <w:tr w:rsidR="006C4A28" w:rsidRPr="0021215D" w14:paraId="26DD6374"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28F73280" w14:textId="38E84082"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προώθησης</w:t>
            </w:r>
          </w:p>
        </w:tc>
        <w:tc>
          <w:tcPr>
            <w:tcW w:w="1161" w:type="dxa"/>
            <w:tcBorders>
              <w:left w:val="single" w:sz="2" w:space="0" w:color="808080" w:themeColor="background1" w:themeShade="80"/>
            </w:tcBorders>
            <w:shd w:val="clear" w:color="auto" w:fill="FFFFFF" w:themeFill="background1"/>
            <w:vAlign w:val="center"/>
          </w:tcPr>
          <w:p w14:paraId="2E591D2D" w14:textId="21A6D8D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(18</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195" w:type="dxa"/>
            <w:shd w:val="clear" w:color="auto" w:fill="FFFFFF" w:themeFill="background1"/>
            <w:vAlign w:val="center"/>
          </w:tcPr>
          <w:p w14:paraId="2BC110D1" w14:textId="7519582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right w:val="single" w:sz="2" w:space="0" w:color="808080" w:themeColor="background1" w:themeShade="80"/>
            </w:tcBorders>
            <w:shd w:val="clear" w:color="auto" w:fill="FFFFFF" w:themeFill="background1"/>
            <w:vAlign w:val="center"/>
          </w:tcPr>
          <w:p w14:paraId="28AEEC5E" w14:textId="1E8267C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tcBorders>
              <w:left w:val="single" w:sz="2" w:space="0" w:color="808080" w:themeColor="background1" w:themeShade="80"/>
            </w:tcBorders>
            <w:shd w:val="clear" w:color="auto" w:fill="FFFFFF" w:themeFill="background1"/>
            <w:vAlign w:val="center"/>
          </w:tcPr>
          <w:p w14:paraId="59AEAA73" w14:textId="691419A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(74</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083" w:type="dxa"/>
            <w:shd w:val="clear" w:color="auto" w:fill="FFFFFF" w:themeFill="background1"/>
            <w:vAlign w:val="center"/>
          </w:tcPr>
          <w:p w14:paraId="1CCDED3C" w14:textId="6F34E57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(74</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shd w:val="clear" w:color="auto" w:fill="FFFFFF" w:themeFill="background1"/>
            <w:vAlign w:val="center"/>
          </w:tcPr>
          <w:p w14:paraId="2312E4B9" w14:textId="4DB0B61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r>
      <w:tr w:rsidR="006C4A28" w:rsidRPr="0021215D" w14:paraId="674DAC9E" w14:textId="77777777" w:rsidTr="00744EE5">
        <w:trPr>
          <w:trHeight w:val="264"/>
        </w:trPr>
        <w:tc>
          <w:tcPr>
            <w:tcW w:w="3784"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163D0F3E" w14:textId="2956CFB8"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Λοιπά λειτουργικά έξοδα</w:t>
            </w:r>
          </w:p>
        </w:tc>
        <w:tc>
          <w:tcPr>
            <w:tcW w:w="116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3F7E768B" w14:textId="15B9332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(172</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195" w:type="dxa"/>
            <w:tcBorders>
              <w:bottom w:val="single" w:sz="2" w:space="0" w:color="808080" w:themeColor="background1" w:themeShade="80"/>
            </w:tcBorders>
            <w:shd w:val="clear" w:color="auto" w:fill="FFFFFF" w:themeFill="background1"/>
            <w:vAlign w:val="center"/>
          </w:tcPr>
          <w:p w14:paraId="71969519" w14:textId="0330282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(143</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38E2E1C9" w14:textId="45CDE1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72FC9FAD" w14:textId="654EFBD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(668</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bottom w:val="single" w:sz="2" w:space="0" w:color="808080" w:themeColor="background1" w:themeShade="80"/>
            </w:tcBorders>
            <w:shd w:val="clear" w:color="auto" w:fill="FFFFFF" w:themeFill="background1"/>
            <w:vAlign w:val="center"/>
          </w:tcPr>
          <w:p w14:paraId="6086B0DF" w14:textId="4A87F42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(525</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bottom w:val="single" w:sz="2" w:space="0" w:color="808080" w:themeColor="background1" w:themeShade="80"/>
            </w:tcBorders>
            <w:shd w:val="clear" w:color="auto" w:fill="FFFFFF" w:themeFill="background1"/>
            <w:vAlign w:val="center"/>
          </w:tcPr>
          <w:p w14:paraId="2A3C5320" w14:textId="3749028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+27</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16A24331" w14:textId="77777777" w:rsidTr="00744EE5">
        <w:trPr>
          <w:trHeight w:val="522"/>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9E419DE" w14:textId="728414A7" w:rsidR="006C4A28" w:rsidRPr="006C4A28" w:rsidRDefault="006C4A28" w:rsidP="006C4A28">
            <w:pPr>
              <w:pStyle w:val="ColorfulList-Accent11"/>
              <w:tabs>
                <w:tab w:val="left" w:pos="0"/>
                <w:tab w:val="left" w:pos="284"/>
              </w:tabs>
              <w:ind w:left="0" w:right="-90"/>
              <w:rPr>
                <w:rFonts w:ascii="Arial" w:hAnsi="Arial" w:cs="Arial"/>
                <w:color w:val="000000" w:themeColor="text1"/>
                <w:sz w:val="18"/>
                <w:szCs w:val="18"/>
                <w:lang w:val="el-GR"/>
              </w:rPr>
            </w:pPr>
            <w:r w:rsidRPr="005247DA">
              <w:rPr>
                <w:rFonts w:ascii="Arial" w:hAnsi="Arial" w:cs="Arial"/>
                <w:b/>
                <w:sz w:val="18"/>
                <w:szCs w:val="18"/>
                <w:lang w:val="el-GR"/>
              </w:rPr>
              <w:t>Σύνολο λειτουργικών εξόδων πριν από αποσβέσεις και απομειώσεις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EC125C7" w14:textId="57CAAD0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b/>
                <w:bCs/>
                <w:color w:val="000000" w:themeColor="text1"/>
                <w:sz w:val="18"/>
                <w:szCs w:val="18"/>
              </w:rPr>
              <w:t>(549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2D30BC0" w14:textId="0F4C9D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b/>
                <w:bCs/>
                <w:color w:val="000000" w:themeColor="text1"/>
                <w:sz w:val="18"/>
                <w:szCs w:val="18"/>
              </w:rPr>
              <w:t>(579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5769107" w14:textId="6AC5841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b/>
                <w:bCs/>
                <w:color w:val="000000" w:themeColor="text1"/>
                <w:sz w:val="18"/>
                <w:szCs w:val="18"/>
              </w:rPr>
              <w:t>-5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0A68FF0" w14:textId="60B04AD1"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231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0ECAE39" w14:textId="50CBFC8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096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2E497DA" w14:textId="142DE551"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r>
      <w:tr w:rsidR="006C4A28" w:rsidRPr="0021215D" w14:paraId="28C04814" w14:textId="77777777" w:rsidTr="00781597">
        <w:trPr>
          <w:trHeight w:val="181"/>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9F85CBB" w14:textId="7777777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80A700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4378FE02"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3B56C92"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3212C85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59CD7B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D0CA26F"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50690D53" w14:textId="77777777" w:rsidTr="00744EE5">
        <w:trPr>
          <w:trHeight w:val="487"/>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399F33D" w14:textId="74BC1CDF"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απομειώσεων</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4157267" w14:textId="39188ED2"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362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5D2D45F" w14:textId="76AE5D90"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351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42A4390" w14:textId="6116924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46EB950" w14:textId="57054E73"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371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6C80F46" w14:textId="5E602201"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382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3FEC8C5" w14:textId="5147CD26"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r>
      <w:tr w:rsidR="006C4A28" w:rsidRPr="0021215D" w14:paraId="430A2128"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931083C" w14:textId="4A49154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rPr>
              <w:t>Αποσβέσεις και απομειώσεις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1915D2E5" w14:textId="7B229E3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(247</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54860A6" w14:textId="61A40F3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(173</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4B0A8C0" w14:textId="0826256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+42</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3846D60C" w14:textId="32ECA7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(703</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08E4D6C" w14:textId="058F475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(666</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E3CF184" w14:textId="0D76FA9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r>
      <w:tr w:rsidR="006C4A28" w:rsidRPr="0021215D" w14:paraId="057C352B" w14:textId="77777777" w:rsidTr="00744EE5">
        <w:trPr>
          <w:trHeight w:val="358"/>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6A6CAF4" w14:textId="626E7AE7"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7C4E128" w14:textId="268583FB"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115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FEB8BC" w14:textId="052AE9C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178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501F238" w14:textId="6F6F45A9"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6B613BA" w14:textId="435A854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668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21FA80E" w14:textId="36273636"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715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37EE0A1" w14:textId="4F977F22"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r>
      <w:tr w:rsidR="006C4A28" w:rsidRPr="006C4A28" w14:paraId="30799700" w14:textId="77777777" w:rsidTr="00744EE5">
        <w:trPr>
          <w:trHeight w:val="509"/>
        </w:trPr>
        <w:tc>
          <w:tcPr>
            <w:tcW w:w="3784" w:type="dxa"/>
            <w:tcBorders>
              <w:right w:val="single" w:sz="2" w:space="0" w:color="808080" w:themeColor="background1" w:themeShade="80"/>
            </w:tcBorders>
            <w:shd w:val="clear" w:color="auto" w:fill="FFFFFF" w:themeFill="background1"/>
            <w:vAlign w:val="center"/>
          </w:tcPr>
          <w:p w14:paraId="09107157" w14:textId="65CAEA2E"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210B57">
              <w:rPr>
                <w:rFonts w:ascii="Arial" w:hAnsi="Arial" w:cs="Arial"/>
                <w:b/>
                <w:sz w:val="18"/>
                <w:szCs w:val="18"/>
                <w:lang w:val="el-GR"/>
              </w:rPr>
              <w:t xml:space="preserve">Έσοδα και έξοδα από </w:t>
            </w:r>
            <w:r>
              <w:rPr>
                <w:rFonts w:ascii="Arial" w:hAnsi="Arial" w:cs="Arial"/>
                <w:b/>
                <w:sz w:val="18"/>
                <w:szCs w:val="18"/>
                <w:lang w:val="el-GR"/>
              </w:rPr>
              <w:t>χ</w:t>
            </w:r>
            <w:r w:rsidRPr="00210B57">
              <w:rPr>
                <w:rFonts w:ascii="Arial" w:hAnsi="Arial" w:cs="Arial"/>
                <w:b/>
                <w:sz w:val="18"/>
                <w:szCs w:val="18"/>
                <w:lang w:val="el-GR"/>
              </w:rPr>
              <w:t>ρηματοοικονομικές και επενδυτικές δραστηριότητες</w:t>
            </w:r>
          </w:p>
        </w:tc>
        <w:tc>
          <w:tcPr>
            <w:tcW w:w="1161" w:type="dxa"/>
            <w:tcBorders>
              <w:left w:val="single" w:sz="2" w:space="0" w:color="808080" w:themeColor="background1" w:themeShade="80"/>
            </w:tcBorders>
            <w:shd w:val="clear" w:color="auto" w:fill="FFFFFF" w:themeFill="background1"/>
            <w:vAlign w:val="center"/>
          </w:tcPr>
          <w:p w14:paraId="56D8CB5B"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195" w:type="dxa"/>
            <w:shd w:val="clear" w:color="auto" w:fill="FFFFFF" w:themeFill="background1"/>
            <w:vAlign w:val="center"/>
          </w:tcPr>
          <w:p w14:paraId="55FE371A"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281" w:type="dxa"/>
            <w:tcBorders>
              <w:right w:val="single" w:sz="2" w:space="0" w:color="808080" w:themeColor="background1" w:themeShade="80"/>
            </w:tcBorders>
            <w:shd w:val="clear" w:color="auto" w:fill="FFFFFF" w:themeFill="background1"/>
            <w:vAlign w:val="center"/>
          </w:tcPr>
          <w:p w14:paraId="1494C082"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083" w:type="dxa"/>
            <w:tcBorders>
              <w:left w:val="single" w:sz="2" w:space="0" w:color="808080" w:themeColor="background1" w:themeShade="80"/>
            </w:tcBorders>
            <w:shd w:val="clear" w:color="auto" w:fill="FFFFFF" w:themeFill="background1"/>
            <w:vAlign w:val="center"/>
          </w:tcPr>
          <w:p w14:paraId="29A9E976"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083" w:type="dxa"/>
            <w:shd w:val="clear" w:color="auto" w:fill="FFFFFF" w:themeFill="background1"/>
            <w:vAlign w:val="center"/>
          </w:tcPr>
          <w:p w14:paraId="766E0A1D"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083" w:type="dxa"/>
            <w:shd w:val="clear" w:color="auto" w:fill="FFFFFF" w:themeFill="background1"/>
            <w:vAlign w:val="center"/>
          </w:tcPr>
          <w:p w14:paraId="7686E7DA"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r>
      <w:tr w:rsidR="006C4A28" w:rsidRPr="006B7198" w14:paraId="32DB059F"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43A297C4" w14:textId="35753AC5"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E2579B">
              <w:rPr>
                <w:rFonts w:ascii="Arial" w:hAnsi="Arial" w:cs="Arial"/>
                <w:sz w:val="18"/>
                <w:szCs w:val="18"/>
                <w:lang w:val="el-GR"/>
              </w:rPr>
              <w:t>Χρηματοοικονομικά έσοδα και έξοδα</w:t>
            </w:r>
          </w:p>
        </w:tc>
        <w:tc>
          <w:tcPr>
            <w:tcW w:w="1161" w:type="dxa"/>
            <w:tcBorders>
              <w:left w:val="single" w:sz="2" w:space="0" w:color="808080" w:themeColor="background1" w:themeShade="80"/>
            </w:tcBorders>
            <w:shd w:val="clear" w:color="auto" w:fill="FFFFFF" w:themeFill="background1"/>
            <w:vAlign w:val="center"/>
          </w:tcPr>
          <w:p w14:paraId="4FA51FF5" w14:textId="3576A53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195" w:type="dxa"/>
            <w:shd w:val="clear" w:color="auto" w:fill="FFFFFF" w:themeFill="background1"/>
            <w:vAlign w:val="center"/>
          </w:tcPr>
          <w:p w14:paraId="0CC7C71C" w14:textId="51C23EF5"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281" w:type="dxa"/>
            <w:tcBorders>
              <w:right w:val="single" w:sz="2" w:space="0" w:color="808080" w:themeColor="background1" w:themeShade="80"/>
            </w:tcBorders>
            <w:shd w:val="clear" w:color="auto" w:fill="FFFFFF" w:themeFill="background1"/>
            <w:vAlign w:val="center"/>
          </w:tcPr>
          <w:p w14:paraId="672E2D20" w14:textId="329AD0DC"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+87</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tcBorders>
            <w:shd w:val="clear" w:color="auto" w:fill="FFFFFF" w:themeFill="background1"/>
            <w:vAlign w:val="center"/>
          </w:tcPr>
          <w:p w14:paraId="7186080D" w14:textId="7A99D98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(21</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shd w:val="clear" w:color="auto" w:fill="FFFFFF" w:themeFill="background1"/>
            <w:vAlign w:val="center"/>
          </w:tcPr>
          <w:p w14:paraId="3DEFDC59" w14:textId="4F651DE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shd w:val="clear" w:color="auto" w:fill="FFFFFF" w:themeFill="background1"/>
            <w:vAlign w:val="center"/>
          </w:tcPr>
          <w:p w14:paraId="35E52577" w14:textId="0B791FB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r>
      <w:tr w:rsidR="006C4A28" w:rsidRPr="006B7198" w14:paraId="09124131"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177371DE" w14:textId="0AD41E5C"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210B57">
              <w:rPr>
                <w:rFonts w:ascii="Arial" w:hAnsi="Arial" w:cs="Arial"/>
                <w:sz w:val="18"/>
                <w:szCs w:val="18"/>
                <w:lang w:val="el-GR"/>
              </w:rPr>
              <w:t>Συναλλαγματικές διαφορές. καθαρές</w:t>
            </w:r>
          </w:p>
        </w:tc>
        <w:tc>
          <w:tcPr>
            <w:tcW w:w="1161" w:type="dxa"/>
            <w:tcBorders>
              <w:left w:val="single" w:sz="2" w:space="0" w:color="808080" w:themeColor="background1" w:themeShade="80"/>
            </w:tcBorders>
            <w:shd w:val="clear" w:color="auto" w:fill="FFFFFF" w:themeFill="background1"/>
            <w:vAlign w:val="center"/>
          </w:tcPr>
          <w:p w14:paraId="42E4019A" w14:textId="534B4EC6" w:rsidR="006C4A28" w:rsidRPr="00C17121" w:rsidRDefault="00D15974" w:rsidP="006C4A28">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color w:val="000000" w:themeColor="text1"/>
                <w:sz w:val="18"/>
                <w:szCs w:val="18"/>
              </w:rPr>
              <w:t>-</w:t>
            </w:r>
          </w:p>
        </w:tc>
        <w:tc>
          <w:tcPr>
            <w:tcW w:w="1195" w:type="dxa"/>
            <w:shd w:val="clear" w:color="auto" w:fill="FFFFFF" w:themeFill="background1"/>
            <w:vAlign w:val="center"/>
          </w:tcPr>
          <w:p w14:paraId="401E5460" w14:textId="7D770D5E"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right w:val="single" w:sz="2" w:space="0" w:color="808080" w:themeColor="background1" w:themeShade="80"/>
            </w:tcBorders>
            <w:shd w:val="clear" w:color="auto" w:fill="FFFFFF" w:themeFill="background1"/>
            <w:vAlign w:val="center"/>
          </w:tcPr>
          <w:p w14:paraId="6697C223" w14:textId="18868E0F" w:rsidR="006C4A28" w:rsidRPr="00284899" w:rsidRDefault="009B5B6B" w:rsidP="006C4A28">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color w:val="000000" w:themeColor="text1"/>
                <w:sz w:val="18"/>
                <w:szCs w:val="18"/>
                <w:lang w:val="el-GR"/>
              </w:rPr>
              <w:t>-</w:t>
            </w:r>
          </w:p>
        </w:tc>
        <w:tc>
          <w:tcPr>
            <w:tcW w:w="1083" w:type="dxa"/>
            <w:tcBorders>
              <w:left w:val="single" w:sz="2" w:space="0" w:color="808080" w:themeColor="background1" w:themeShade="80"/>
            </w:tcBorders>
            <w:shd w:val="clear" w:color="auto" w:fill="FFFFFF" w:themeFill="background1"/>
            <w:vAlign w:val="center"/>
          </w:tcPr>
          <w:p w14:paraId="66FF9BB1" w14:textId="65082C9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shd w:val="clear" w:color="auto" w:fill="FFFFFF" w:themeFill="background1"/>
            <w:vAlign w:val="center"/>
          </w:tcPr>
          <w:p w14:paraId="7704D37A" w14:textId="1199805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083" w:type="dxa"/>
            <w:shd w:val="clear" w:color="auto" w:fill="FFFFFF" w:themeFill="background1"/>
            <w:vAlign w:val="center"/>
          </w:tcPr>
          <w:p w14:paraId="0F31EB08" w14:textId="0E2F252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-77</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r>
      <w:tr w:rsidR="006C4A28" w:rsidRPr="006B7198" w14:paraId="1CB52B4C" w14:textId="77777777" w:rsidTr="00744EE5">
        <w:trPr>
          <w:trHeight w:val="522"/>
        </w:trPr>
        <w:tc>
          <w:tcPr>
            <w:tcW w:w="3784"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1C5B9985" w14:textId="5DBCF0AD"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210B57">
              <w:rPr>
                <w:rFonts w:ascii="Arial" w:hAnsi="Arial" w:cs="Arial"/>
                <w:sz w:val="18"/>
                <w:szCs w:val="18"/>
                <w:lang w:val="el-GR"/>
              </w:rPr>
              <w:t>Κέρδη/(Ζημιές) από συμμετοχές και λοιπά χρηματοοικονομικά περιουσιακά στοιχεία - Απομειώσεις</w:t>
            </w:r>
          </w:p>
        </w:tc>
        <w:tc>
          <w:tcPr>
            <w:tcW w:w="116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011D36F2" w14:textId="632EC99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195" w:type="dxa"/>
            <w:tcBorders>
              <w:bottom w:val="single" w:sz="2" w:space="0" w:color="808080" w:themeColor="background1" w:themeShade="80"/>
            </w:tcBorders>
            <w:shd w:val="clear" w:color="auto" w:fill="FFFFFF" w:themeFill="background1"/>
            <w:vAlign w:val="center"/>
          </w:tcPr>
          <w:p w14:paraId="58D19B28" w14:textId="322FC506"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C3A450A" w14:textId="1D1805AD"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+120</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6277916F" w14:textId="0587AB2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bottom w:val="single" w:sz="2" w:space="0" w:color="808080" w:themeColor="background1" w:themeShade="80"/>
            </w:tcBorders>
            <w:shd w:val="clear" w:color="auto" w:fill="FFFFFF" w:themeFill="background1"/>
            <w:vAlign w:val="center"/>
          </w:tcPr>
          <w:p w14:paraId="20133275" w14:textId="2C7DC23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bottom w:val="single" w:sz="2" w:space="0" w:color="808080" w:themeColor="background1" w:themeShade="80"/>
            </w:tcBorders>
            <w:shd w:val="clear" w:color="auto" w:fill="FFFFFF" w:themeFill="background1"/>
            <w:vAlign w:val="center"/>
          </w:tcPr>
          <w:p w14:paraId="1B8371E5" w14:textId="7C8C29A7" w:rsidR="006C4A28" w:rsidRPr="00C17121" w:rsidRDefault="00D15974" w:rsidP="006C4A28">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w:t>
            </w:r>
          </w:p>
        </w:tc>
      </w:tr>
      <w:tr w:rsidR="006C4A28" w:rsidRPr="0021215D" w14:paraId="70C76ACE" w14:textId="77777777" w:rsidTr="00744EE5">
        <w:trPr>
          <w:trHeight w:val="338"/>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D4AB290" w14:textId="61154501"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F7697">
              <w:rPr>
                <w:rFonts w:ascii="Arial" w:hAnsi="Arial" w:cs="Arial"/>
                <w:b/>
                <w:sz w:val="18"/>
                <w:szCs w:val="18"/>
                <w:lang w:val="el-GR"/>
              </w:rPr>
              <w:t>Συνολικ</w:t>
            </w:r>
            <w:r>
              <w:rPr>
                <w:rFonts w:ascii="Arial" w:hAnsi="Arial" w:cs="Arial"/>
                <w:b/>
                <w:sz w:val="18"/>
                <w:szCs w:val="18"/>
                <w:lang w:val="el-GR"/>
              </w:rPr>
              <w:t>ά</w:t>
            </w:r>
            <w:r w:rsidRPr="005F7697">
              <w:rPr>
                <w:rFonts w:ascii="Arial" w:hAnsi="Arial" w:cs="Arial"/>
                <w:b/>
                <w:sz w:val="18"/>
                <w:szCs w:val="18"/>
                <w:lang w:val="el-GR"/>
              </w:rPr>
              <w:t xml:space="preserve"> </w:t>
            </w:r>
            <w:r>
              <w:rPr>
                <w:rFonts w:ascii="Arial" w:hAnsi="Arial" w:cs="Arial"/>
                <w:b/>
                <w:sz w:val="18"/>
                <w:szCs w:val="18"/>
                <w:lang w:val="el-GR"/>
              </w:rPr>
              <w:t>κέρδη/(</w:t>
            </w:r>
            <w:r w:rsidRPr="005F7697">
              <w:rPr>
                <w:rFonts w:ascii="Arial" w:hAnsi="Arial" w:cs="Arial"/>
                <w:b/>
                <w:sz w:val="18"/>
                <w:szCs w:val="18"/>
                <w:lang w:val="el-GR"/>
              </w:rPr>
              <w:t>ζημιές</w:t>
            </w:r>
            <w:r>
              <w:rPr>
                <w:rFonts w:ascii="Arial" w:hAnsi="Arial" w:cs="Arial"/>
                <w:b/>
                <w:sz w:val="18"/>
                <w:szCs w:val="18"/>
                <w:lang w:val="el-GR"/>
              </w:rPr>
              <w:t>)</w:t>
            </w:r>
            <w:r w:rsidRPr="005F7697">
              <w:rPr>
                <w:rFonts w:ascii="Arial" w:hAnsi="Arial" w:cs="Arial"/>
                <w:b/>
                <w:sz w:val="18"/>
                <w:szCs w:val="18"/>
                <w:lang w:val="el-GR"/>
              </w:rPr>
              <w:t xml:space="preserve"> από χρηματοοικονομικές και επενδυτικές δραστηριότητες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5B121BE" w14:textId="2E5444CF"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768515C" w14:textId="4D6D6FB6"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806205F" w14:textId="56BC15F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r w:rsidRPr="00C17121">
              <w:rPr>
                <w:rFonts w:ascii="Arial" w:hAnsi="Arial" w:cs="Arial"/>
                <w:b/>
                <w:bCs/>
                <w:color w:val="000000" w:themeColor="text1"/>
                <w:sz w:val="18"/>
                <w:szCs w:val="18"/>
              </w:rPr>
              <w:t>+146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E14B034" w14:textId="040A6F67"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AB8B6F8" w14:textId="540D530D"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B504082" w14:textId="0230812A" w:rsidR="006C4A28" w:rsidRPr="00C17121" w:rsidRDefault="00C87EAF" w:rsidP="006C4A28">
            <w:pPr>
              <w:pStyle w:val="ColorfulList-Accent11"/>
              <w:tabs>
                <w:tab w:val="left" w:pos="0"/>
                <w:tab w:val="left" w:pos="284"/>
              </w:tabs>
              <w:ind w:left="0" w:right="-90"/>
              <w:jc w:val="center"/>
              <w:rPr>
                <w:rFonts w:ascii="Arial" w:hAnsi="Arial" w:cs="Arial"/>
                <w:b/>
                <w:bCs/>
                <w:color w:val="000000" w:themeColor="text1"/>
                <w:sz w:val="18"/>
                <w:szCs w:val="18"/>
              </w:rPr>
            </w:pPr>
            <w:r>
              <w:rPr>
                <w:rFonts w:ascii="Arial" w:hAnsi="Arial" w:cs="Arial"/>
                <w:b/>
                <w:bCs/>
                <w:color w:val="000000" w:themeColor="text1"/>
                <w:sz w:val="18"/>
                <w:szCs w:val="18"/>
              </w:rPr>
              <w:t>-</w:t>
            </w:r>
          </w:p>
        </w:tc>
      </w:tr>
      <w:tr w:rsidR="006C4A28" w:rsidRPr="0021215D" w14:paraId="6CC0F651" w14:textId="77777777" w:rsidTr="006C4A28">
        <w:trPr>
          <w:trHeight w:val="114"/>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D5947CA" w14:textId="7777777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5523DA0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B707A5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511304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F74AAEA"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9CDBE88"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2513340F"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4F32A4DD"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1B67D95" w14:textId="467A3DAA"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7B13EC">
              <w:rPr>
                <w:rFonts w:ascii="Arial" w:hAnsi="Arial" w:cs="Arial"/>
                <w:b/>
                <w:sz w:val="18"/>
                <w:szCs w:val="18"/>
              </w:rPr>
              <w:t>Κέρδη προ φόρων</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0FC9639" w14:textId="4AD13FD8"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51BBB0F" w14:textId="6EB15431"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177</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3E40AAF" w14:textId="756CB35E"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E7ACC6A" w14:textId="77D1C195"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678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800ED79" w14:textId="208F5E7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699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A33B9C" w14:textId="3211678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0%</w:t>
            </w:r>
          </w:p>
        </w:tc>
      </w:tr>
      <w:tr w:rsidR="006C4A28" w:rsidRPr="0021215D" w14:paraId="60F94058" w14:textId="77777777" w:rsidTr="00744EE5">
        <w:trPr>
          <w:trHeight w:val="264"/>
        </w:trPr>
        <w:tc>
          <w:tcPr>
            <w:tcW w:w="3784" w:type="dxa"/>
            <w:tcBorders>
              <w:top w:val="single" w:sz="2" w:space="0" w:color="808080" w:themeColor="background1" w:themeShade="80"/>
              <w:bottom w:val="single" w:sz="2" w:space="0" w:color="auto"/>
              <w:right w:val="single" w:sz="2" w:space="0" w:color="808080" w:themeColor="background1" w:themeShade="80"/>
            </w:tcBorders>
            <w:shd w:val="clear" w:color="auto" w:fill="FFFFFF" w:themeFill="background1"/>
            <w:vAlign w:val="center"/>
          </w:tcPr>
          <w:p w14:paraId="64EBA047" w14:textId="41000445"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7B13EC">
              <w:rPr>
                <w:rFonts w:ascii="Arial" w:hAnsi="Arial" w:cs="Arial"/>
                <w:sz w:val="18"/>
                <w:szCs w:val="18"/>
              </w:rPr>
              <w:t>Φόρος εισοδήματος</w:t>
            </w:r>
          </w:p>
        </w:tc>
        <w:tc>
          <w:tcPr>
            <w:tcW w:w="1161" w:type="dxa"/>
            <w:tcBorders>
              <w:top w:val="single" w:sz="2" w:space="0" w:color="808080" w:themeColor="background1" w:themeShade="80"/>
              <w:left w:val="single" w:sz="2" w:space="0" w:color="808080" w:themeColor="background1" w:themeShade="80"/>
              <w:bottom w:val="single" w:sz="2" w:space="0" w:color="auto"/>
            </w:tcBorders>
            <w:shd w:val="clear" w:color="auto" w:fill="FFFFFF" w:themeFill="background1"/>
            <w:vAlign w:val="center"/>
          </w:tcPr>
          <w:p w14:paraId="3E70B682" w14:textId="34DEAD9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(47</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195" w:type="dxa"/>
            <w:tcBorders>
              <w:top w:val="single" w:sz="2" w:space="0" w:color="808080" w:themeColor="background1" w:themeShade="80"/>
              <w:bottom w:val="single" w:sz="2" w:space="0" w:color="auto"/>
            </w:tcBorders>
            <w:shd w:val="clear" w:color="auto" w:fill="FFFFFF" w:themeFill="background1"/>
            <w:vAlign w:val="center"/>
          </w:tcPr>
          <w:p w14:paraId="05167697" w14:textId="47CF805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(42</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281" w:type="dxa"/>
            <w:tcBorders>
              <w:top w:val="single" w:sz="2" w:space="0" w:color="808080" w:themeColor="background1" w:themeShade="80"/>
              <w:bottom w:val="single" w:sz="2" w:space="0" w:color="auto"/>
              <w:right w:val="single" w:sz="2" w:space="0" w:color="808080" w:themeColor="background1" w:themeShade="80"/>
            </w:tcBorders>
            <w:shd w:val="clear" w:color="auto" w:fill="FFFFFF" w:themeFill="background1"/>
            <w:vAlign w:val="center"/>
          </w:tcPr>
          <w:p w14:paraId="49D03EC5" w14:textId="0ED712E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+11</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top w:val="single" w:sz="2" w:space="0" w:color="808080" w:themeColor="background1" w:themeShade="80"/>
              <w:left w:val="single" w:sz="2" w:space="0" w:color="808080" w:themeColor="background1" w:themeShade="80"/>
              <w:bottom w:val="single" w:sz="2" w:space="0" w:color="auto"/>
            </w:tcBorders>
            <w:shd w:val="clear" w:color="auto" w:fill="FFFFFF" w:themeFill="background1"/>
            <w:vAlign w:val="center"/>
          </w:tcPr>
          <w:p w14:paraId="5504E315" w14:textId="51FD132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(199</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tcBorders>
              <w:top w:val="single" w:sz="2" w:space="0" w:color="808080" w:themeColor="background1" w:themeShade="80"/>
              <w:bottom w:val="single" w:sz="2" w:space="0" w:color="auto"/>
            </w:tcBorders>
            <w:shd w:val="clear" w:color="auto" w:fill="FFFFFF" w:themeFill="background1"/>
            <w:vAlign w:val="center"/>
          </w:tcPr>
          <w:p w14:paraId="37887C77" w14:textId="3A4CCAD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(167</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tcBorders>
              <w:top w:val="single" w:sz="2" w:space="0" w:color="808080" w:themeColor="background1" w:themeShade="80"/>
              <w:bottom w:val="single" w:sz="2" w:space="0" w:color="auto"/>
            </w:tcBorders>
            <w:shd w:val="clear" w:color="auto" w:fill="FFFFFF" w:themeFill="background1"/>
            <w:vAlign w:val="center"/>
          </w:tcPr>
          <w:p w14:paraId="0A1BA0EC" w14:textId="55A2FDB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+19</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r>
      <w:tr w:rsidR="006C4A28" w:rsidRPr="0021215D" w14:paraId="0B5E7A6C" w14:textId="77777777" w:rsidTr="00744EE5">
        <w:trPr>
          <w:trHeight w:val="384"/>
        </w:trPr>
        <w:tc>
          <w:tcPr>
            <w:tcW w:w="3784" w:type="dxa"/>
            <w:tcBorders>
              <w:top w:val="single" w:sz="2" w:space="0" w:color="auto"/>
              <w:bottom w:val="single" w:sz="2" w:space="0" w:color="auto"/>
              <w:right w:val="single" w:sz="2" w:space="0" w:color="808080" w:themeColor="background1" w:themeShade="80"/>
            </w:tcBorders>
            <w:shd w:val="clear" w:color="auto" w:fill="D9D9D9" w:themeFill="background1" w:themeFillShade="D9"/>
            <w:vAlign w:val="center"/>
          </w:tcPr>
          <w:p w14:paraId="55265C2A" w14:textId="6CC71D89"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b/>
                <w:sz w:val="18"/>
                <w:szCs w:val="18"/>
                <w:lang w:val="el-GR"/>
              </w:rPr>
              <w:t>Κέρδη χρήσης</w:t>
            </w:r>
          </w:p>
        </w:tc>
        <w:tc>
          <w:tcPr>
            <w:tcW w:w="1161" w:type="dxa"/>
            <w:tcBorders>
              <w:top w:val="single" w:sz="2" w:space="0" w:color="auto"/>
              <w:left w:val="single" w:sz="2" w:space="0" w:color="808080" w:themeColor="background1" w:themeShade="80"/>
              <w:bottom w:val="single" w:sz="2" w:space="0" w:color="auto"/>
            </w:tcBorders>
            <w:shd w:val="clear" w:color="auto" w:fill="D9D9D9" w:themeFill="background1" w:themeFillShade="D9"/>
            <w:vAlign w:val="center"/>
          </w:tcPr>
          <w:p w14:paraId="3BAA9C30" w14:textId="28305B6C"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64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195" w:type="dxa"/>
            <w:tcBorders>
              <w:top w:val="single" w:sz="2" w:space="0" w:color="auto"/>
              <w:bottom w:val="single" w:sz="2" w:space="0" w:color="auto"/>
            </w:tcBorders>
            <w:shd w:val="clear" w:color="auto" w:fill="D9D9D9" w:themeFill="background1" w:themeFillShade="D9"/>
            <w:vAlign w:val="center"/>
          </w:tcPr>
          <w:p w14:paraId="1B36AA9E" w14:textId="651C1BFE"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134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281" w:type="dxa"/>
            <w:tcBorders>
              <w:top w:val="single" w:sz="2" w:space="0" w:color="auto"/>
              <w:bottom w:val="single" w:sz="2" w:space="0" w:color="auto"/>
              <w:right w:val="single" w:sz="2" w:space="0" w:color="808080" w:themeColor="background1" w:themeShade="80"/>
            </w:tcBorders>
            <w:shd w:val="clear" w:color="auto" w:fill="D9D9D9" w:themeFill="background1" w:themeFillShade="D9"/>
            <w:vAlign w:val="center"/>
          </w:tcPr>
          <w:p w14:paraId="1B3C2653" w14:textId="573A71F1"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-52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0%</w:t>
            </w:r>
          </w:p>
        </w:tc>
        <w:tc>
          <w:tcPr>
            <w:tcW w:w="1083" w:type="dxa"/>
            <w:tcBorders>
              <w:top w:val="single" w:sz="2" w:space="0" w:color="auto"/>
              <w:left w:val="single" w:sz="2" w:space="0" w:color="808080" w:themeColor="background1" w:themeShade="80"/>
              <w:bottom w:val="single" w:sz="2" w:space="0" w:color="auto"/>
            </w:tcBorders>
            <w:shd w:val="clear" w:color="auto" w:fill="D9D9D9" w:themeFill="background1" w:themeFillShade="D9"/>
            <w:vAlign w:val="center"/>
          </w:tcPr>
          <w:p w14:paraId="6D96F718" w14:textId="341E3F24"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478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083" w:type="dxa"/>
            <w:tcBorders>
              <w:top w:val="single" w:sz="2" w:space="0" w:color="auto"/>
              <w:bottom w:val="single" w:sz="2" w:space="0" w:color="auto"/>
            </w:tcBorders>
            <w:shd w:val="clear" w:color="auto" w:fill="D9D9D9" w:themeFill="background1" w:themeFillShade="D9"/>
            <w:vAlign w:val="center"/>
          </w:tcPr>
          <w:p w14:paraId="539255B8" w14:textId="6313F669"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531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auto"/>
              <w:bottom w:val="single" w:sz="2" w:space="0" w:color="auto"/>
            </w:tcBorders>
            <w:shd w:val="clear" w:color="auto" w:fill="D9D9D9" w:themeFill="background1" w:themeFillShade="D9"/>
            <w:vAlign w:val="center"/>
          </w:tcPr>
          <w:p w14:paraId="2FEF5361" w14:textId="44EE515B"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r>
    </w:tbl>
    <w:p w14:paraId="0F1C082D" w14:textId="77777777" w:rsidR="005B6F70" w:rsidRDefault="005B6F70" w:rsidP="002C23A2">
      <w:pPr>
        <w:spacing w:after="0" w:line="240" w:lineRule="auto"/>
        <w:jc w:val="both"/>
        <w:rPr>
          <w:rFonts w:ascii="Arial" w:eastAsia="Times New Roman" w:hAnsi="Arial" w:cs="Arial"/>
          <w:b/>
          <w:color w:val="00B0F0"/>
          <w:sz w:val="24"/>
          <w:szCs w:val="24"/>
        </w:rPr>
      </w:pPr>
    </w:p>
    <w:p w14:paraId="0E5B5EC9" w14:textId="3A349A9B" w:rsidR="003B215B" w:rsidRPr="002C23A2" w:rsidRDefault="00726B8A" w:rsidP="002C23A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lang w:val="en-US"/>
        </w:rPr>
        <w:lastRenderedPageBreak/>
        <w:t>IV</w:t>
      </w:r>
      <w:r w:rsidR="0056658D">
        <w:rPr>
          <w:rFonts w:ascii="Arial" w:eastAsia="Times New Roman" w:hAnsi="Arial" w:cs="Arial"/>
          <w:b/>
          <w:color w:val="00B0F0"/>
          <w:sz w:val="24"/>
          <w:szCs w:val="24"/>
          <w:lang w:val="en-US"/>
        </w:rPr>
        <w:t>.</w:t>
      </w:r>
      <w:r>
        <w:rPr>
          <w:rFonts w:ascii="Arial" w:eastAsia="Times New Roman" w:hAnsi="Arial" w:cs="Arial"/>
          <w:b/>
          <w:color w:val="00B0F0"/>
          <w:sz w:val="24"/>
          <w:szCs w:val="24"/>
          <w:lang w:val="en-US"/>
        </w:rPr>
        <w:t xml:space="preserve"> </w:t>
      </w:r>
      <w:r w:rsidR="00781597" w:rsidRPr="002C23A2">
        <w:rPr>
          <w:rFonts w:ascii="Arial" w:eastAsia="Times New Roman" w:hAnsi="Arial" w:cs="Arial"/>
          <w:b/>
          <w:color w:val="00B0F0"/>
          <w:sz w:val="24"/>
          <w:szCs w:val="24"/>
        </w:rPr>
        <w:t>ΚΑΤΑΣΤΑΣ</w:t>
      </w:r>
      <w:r w:rsidR="005F37D9">
        <w:rPr>
          <w:rFonts w:ascii="Arial" w:eastAsia="Times New Roman" w:hAnsi="Arial" w:cs="Arial"/>
          <w:b/>
          <w:color w:val="00B0F0"/>
          <w:sz w:val="24"/>
          <w:szCs w:val="24"/>
        </w:rPr>
        <w:t>Η</w:t>
      </w:r>
      <w:r w:rsidR="00781597" w:rsidRPr="002C23A2">
        <w:rPr>
          <w:rFonts w:ascii="Arial" w:eastAsia="Times New Roman" w:hAnsi="Arial" w:cs="Arial"/>
          <w:b/>
          <w:color w:val="00B0F0"/>
          <w:sz w:val="24"/>
          <w:szCs w:val="24"/>
        </w:rPr>
        <w:t xml:space="preserve"> ΤΑΜΕΙΑΚΩΝ ΡΟΩΝ </w:t>
      </w:r>
    </w:p>
    <w:p w14:paraId="6FBE93E8" w14:textId="75353558" w:rsidR="0007489B" w:rsidRPr="00946673" w:rsidRDefault="003B215B" w:rsidP="00946673">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1" behindDoc="0" locked="0" layoutInCell="1" allowOverlap="1" wp14:anchorId="051A44E0" wp14:editId="5BD0F51A">
                <wp:simplePos x="0" y="0"/>
                <wp:positionH relativeFrom="column">
                  <wp:posOffset>2752</wp:posOffset>
                </wp:positionH>
                <wp:positionV relativeFrom="paragraph">
                  <wp:posOffset>11642</wp:posOffset>
                </wp:positionV>
                <wp:extent cx="664083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13A25" id="Straight Connector 26"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1427"/>
        <w:gridCol w:w="1429"/>
        <w:gridCol w:w="1301"/>
        <w:gridCol w:w="1301"/>
      </w:tblGrid>
      <w:tr w:rsidR="00781597" w:rsidRPr="00CB2967" w14:paraId="56CE6FC5" w14:textId="77777777" w:rsidTr="002C23A2">
        <w:trPr>
          <w:trHeight w:val="48"/>
        </w:trPr>
        <w:tc>
          <w:tcPr>
            <w:tcW w:w="4858" w:type="dxa"/>
            <w:tcBorders>
              <w:bottom w:val="single" w:sz="2" w:space="0" w:color="808080" w:themeColor="background1" w:themeShade="80"/>
            </w:tcBorders>
            <w:vAlign w:val="center"/>
          </w:tcPr>
          <w:p w14:paraId="235746D0" w14:textId="4B64CE03" w:rsidR="00781597" w:rsidRPr="00C21D91" w:rsidRDefault="00946673" w:rsidP="00744EE5">
            <w:pPr>
              <w:pStyle w:val="ColorfulList-Accent11"/>
              <w:tabs>
                <w:tab w:val="left" w:pos="0"/>
                <w:tab w:val="left" w:pos="284"/>
              </w:tabs>
              <w:ind w:left="0" w:right="-90"/>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427" w:type="dxa"/>
            <w:tcBorders>
              <w:bottom w:val="single" w:sz="2" w:space="0" w:color="808080" w:themeColor="background1" w:themeShade="80"/>
            </w:tcBorders>
            <w:vAlign w:val="center"/>
          </w:tcPr>
          <w:p w14:paraId="6644604B" w14:textId="77777777" w:rsidR="00781597" w:rsidRPr="00C21D91" w:rsidRDefault="00781597" w:rsidP="00744EE5">
            <w:pPr>
              <w:pStyle w:val="ColorfulList-Accent11"/>
              <w:tabs>
                <w:tab w:val="left" w:pos="0"/>
                <w:tab w:val="left" w:pos="284"/>
              </w:tabs>
              <w:ind w:left="0" w:right="-90"/>
              <w:jc w:val="center"/>
              <w:rPr>
                <w:rFonts w:ascii="Arial" w:hAnsi="Arial" w:cs="Arial"/>
                <w:i/>
                <w:sz w:val="18"/>
                <w:szCs w:val="18"/>
              </w:rPr>
            </w:pPr>
            <w:r w:rsidRPr="00C21D91">
              <w:rPr>
                <w:rFonts w:ascii="Arial" w:hAnsi="Arial" w:cs="Arial"/>
                <w:b/>
                <w:sz w:val="18"/>
                <w:szCs w:val="18"/>
              </w:rPr>
              <w:t>Q4'24</w:t>
            </w:r>
          </w:p>
        </w:tc>
        <w:tc>
          <w:tcPr>
            <w:tcW w:w="1429" w:type="dxa"/>
            <w:tcBorders>
              <w:bottom w:val="single" w:sz="2" w:space="0" w:color="808080" w:themeColor="background1" w:themeShade="80"/>
            </w:tcBorders>
            <w:vAlign w:val="center"/>
          </w:tcPr>
          <w:p w14:paraId="682F0911" w14:textId="77777777" w:rsidR="00781597" w:rsidRPr="00C21D91" w:rsidRDefault="00781597" w:rsidP="00744EE5">
            <w:pPr>
              <w:pStyle w:val="ColorfulList-Accent11"/>
              <w:tabs>
                <w:tab w:val="left" w:pos="0"/>
                <w:tab w:val="left" w:pos="284"/>
              </w:tabs>
              <w:ind w:left="0" w:right="-90"/>
              <w:jc w:val="center"/>
              <w:rPr>
                <w:rFonts w:ascii="Arial" w:hAnsi="Arial" w:cs="Arial"/>
                <w:i/>
                <w:sz w:val="18"/>
                <w:szCs w:val="18"/>
              </w:rPr>
            </w:pPr>
            <w:r w:rsidRPr="00C21D91">
              <w:rPr>
                <w:rFonts w:ascii="Arial" w:hAnsi="Arial" w:cs="Arial"/>
                <w:b/>
                <w:sz w:val="18"/>
                <w:szCs w:val="18"/>
              </w:rPr>
              <w:t>Q4'23</w:t>
            </w:r>
          </w:p>
        </w:tc>
        <w:tc>
          <w:tcPr>
            <w:tcW w:w="1301" w:type="dxa"/>
            <w:tcBorders>
              <w:bottom w:val="single" w:sz="2" w:space="0" w:color="808080" w:themeColor="background1" w:themeShade="80"/>
            </w:tcBorders>
            <w:vAlign w:val="center"/>
          </w:tcPr>
          <w:p w14:paraId="6F7BB9A0"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r w:rsidRPr="00C21D91">
              <w:rPr>
                <w:rFonts w:ascii="Arial" w:hAnsi="Arial" w:cs="Arial"/>
                <w:b/>
                <w:sz w:val="18"/>
                <w:szCs w:val="18"/>
              </w:rPr>
              <w:t>12M'24</w:t>
            </w:r>
          </w:p>
        </w:tc>
        <w:tc>
          <w:tcPr>
            <w:tcW w:w="1301" w:type="dxa"/>
            <w:tcBorders>
              <w:bottom w:val="single" w:sz="2" w:space="0" w:color="808080" w:themeColor="background1" w:themeShade="80"/>
            </w:tcBorders>
            <w:vAlign w:val="center"/>
          </w:tcPr>
          <w:p w14:paraId="788D10E7"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r w:rsidRPr="00C21D91">
              <w:rPr>
                <w:rFonts w:ascii="Arial" w:hAnsi="Arial" w:cs="Arial"/>
                <w:b/>
                <w:sz w:val="18"/>
                <w:szCs w:val="18"/>
              </w:rPr>
              <w:t>12M'23</w:t>
            </w:r>
          </w:p>
        </w:tc>
      </w:tr>
      <w:tr w:rsidR="00781597" w:rsidRPr="00CB2967" w14:paraId="25BEBF94" w14:textId="77777777" w:rsidTr="00744EE5">
        <w:trPr>
          <w:trHeight w:val="149"/>
        </w:trPr>
        <w:tc>
          <w:tcPr>
            <w:tcW w:w="4858" w:type="dxa"/>
            <w:tcBorders>
              <w:top w:val="single" w:sz="2" w:space="0" w:color="808080" w:themeColor="background1" w:themeShade="80"/>
            </w:tcBorders>
            <w:shd w:val="clear" w:color="auto" w:fill="FFFFFF" w:themeFill="background1"/>
            <w:vAlign w:val="center"/>
          </w:tcPr>
          <w:p w14:paraId="48A2AA2A" w14:textId="77777777" w:rsidR="00781597" w:rsidRPr="00C21D91" w:rsidRDefault="00781597" w:rsidP="00744EE5">
            <w:pPr>
              <w:pStyle w:val="ColorfulList-Accent11"/>
              <w:tabs>
                <w:tab w:val="left" w:pos="0"/>
                <w:tab w:val="left" w:pos="284"/>
              </w:tabs>
              <w:ind w:left="0" w:right="-90"/>
              <w:rPr>
                <w:rFonts w:ascii="Arial" w:hAnsi="Arial" w:cs="Arial"/>
                <w:b/>
                <w:sz w:val="18"/>
                <w:szCs w:val="18"/>
              </w:rPr>
            </w:pPr>
          </w:p>
        </w:tc>
        <w:tc>
          <w:tcPr>
            <w:tcW w:w="1427" w:type="dxa"/>
            <w:tcBorders>
              <w:top w:val="single" w:sz="2" w:space="0" w:color="808080" w:themeColor="background1" w:themeShade="80"/>
            </w:tcBorders>
            <w:shd w:val="clear" w:color="auto" w:fill="FFFFFF" w:themeFill="background1"/>
            <w:vAlign w:val="center"/>
          </w:tcPr>
          <w:p w14:paraId="2366DFAE"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c>
          <w:tcPr>
            <w:tcW w:w="1429" w:type="dxa"/>
            <w:tcBorders>
              <w:top w:val="single" w:sz="2" w:space="0" w:color="808080" w:themeColor="background1" w:themeShade="80"/>
            </w:tcBorders>
            <w:shd w:val="clear" w:color="auto" w:fill="FFFFFF" w:themeFill="background1"/>
            <w:vAlign w:val="center"/>
          </w:tcPr>
          <w:p w14:paraId="3C9FE88F"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c>
          <w:tcPr>
            <w:tcW w:w="1301" w:type="dxa"/>
            <w:tcBorders>
              <w:top w:val="single" w:sz="2" w:space="0" w:color="808080" w:themeColor="background1" w:themeShade="80"/>
            </w:tcBorders>
            <w:shd w:val="clear" w:color="auto" w:fill="FFFFFF" w:themeFill="background1"/>
            <w:vAlign w:val="center"/>
          </w:tcPr>
          <w:p w14:paraId="5DA98153"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c>
          <w:tcPr>
            <w:tcW w:w="1301" w:type="dxa"/>
            <w:tcBorders>
              <w:top w:val="single" w:sz="2" w:space="0" w:color="808080" w:themeColor="background1" w:themeShade="80"/>
            </w:tcBorders>
            <w:shd w:val="clear" w:color="auto" w:fill="FFFFFF" w:themeFill="background1"/>
            <w:vAlign w:val="center"/>
          </w:tcPr>
          <w:p w14:paraId="4AD34304"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r>
      <w:tr w:rsidR="00946673" w:rsidRPr="00946673" w14:paraId="7C31638E" w14:textId="77777777" w:rsidTr="00744EE5">
        <w:trPr>
          <w:trHeight w:val="225"/>
        </w:trPr>
        <w:tc>
          <w:tcPr>
            <w:tcW w:w="4858" w:type="dxa"/>
            <w:tcBorders>
              <w:right w:val="single" w:sz="2" w:space="0" w:color="808080" w:themeColor="background1" w:themeShade="80"/>
            </w:tcBorders>
            <w:vAlign w:val="bottom"/>
          </w:tcPr>
          <w:p w14:paraId="21C8636A" w14:textId="22E83E84" w:rsidR="00946673" w:rsidRPr="00946673" w:rsidRDefault="00946673" w:rsidP="00946673">
            <w:pPr>
              <w:pStyle w:val="ColorfulList-Accent11"/>
              <w:tabs>
                <w:tab w:val="left" w:pos="0"/>
                <w:tab w:val="left" w:pos="284"/>
              </w:tabs>
              <w:ind w:left="0" w:right="-90"/>
              <w:rPr>
                <w:rFonts w:ascii="Arial" w:hAnsi="Arial" w:cs="Arial"/>
                <w:i/>
                <w:sz w:val="17"/>
                <w:szCs w:val="17"/>
                <w:lang w:val="el-GR"/>
              </w:rPr>
            </w:pPr>
            <w:r>
              <w:rPr>
                <w:rFonts w:ascii="Arial" w:hAnsi="Arial" w:cs="Arial"/>
                <w:b/>
                <w:sz w:val="18"/>
                <w:szCs w:val="18"/>
                <w:lang w:val="el-GR"/>
              </w:rPr>
              <w:t>Ταμειακές ροές από λειτουργικές δραστηριότητες</w:t>
            </w:r>
          </w:p>
        </w:tc>
        <w:tc>
          <w:tcPr>
            <w:tcW w:w="1427" w:type="dxa"/>
            <w:tcBorders>
              <w:left w:val="single" w:sz="2" w:space="0" w:color="808080" w:themeColor="background1" w:themeShade="80"/>
            </w:tcBorders>
            <w:vAlign w:val="center"/>
          </w:tcPr>
          <w:p w14:paraId="1F9A9A66"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429" w:type="dxa"/>
            <w:tcBorders>
              <w:right w:val="single" w:sz="2" w:space="0" w:color="808080" w:themeColor="background1" w:themeShade="80"/>
            </w:tcBorders>
            <w:vAlign w:val="center"/>
          </w:tcPr>
          <w:p w14:paraId="0921FA13"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tcBorders>
              <w:left w:val="single" w:sz="2" w:space="0" w:color="808080" w:themeColor="background1" w:themeShade="80"/>
            </w:tcBorders>
            <w:vAlign w:val="center"/>
          </w:tcPr>
          <w:p w14:paraId="77835529"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vAlign w:val="center"/>
          </w:tcPr>
          <w:p w14:paraId="0466F0D2"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r>
      <w:tr w:rsidR="00946673" w:rsidRPr="00CB2967" w14:paraId="51BADD0F" w14:textId="77777777" w:rsidTr="00744EE5">
        <w:trPr>
          <w:trHeight w:val="225"/>
        </w:trPr>
        <w:tc>
          <w:tcPr>
            <w:tcW w:w="4858" w:type="dxa"/>
            <w:tcBorders>
              <w:right w:val="single" w:sz="2" w:space="0" w:color="808080" w:themeColor="background1" w:themeShade="80"/>
            </w:tcBorders>
            <w:vAlign w:val="center"/>
          </w:tcPr>
          <w:p w14:paraId="0DC5326E" w14:textId="6CF0C097"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Κέρδη προ φόρων</w:t>
            </w:r>
          </w:p>
        </w:tc>
        <w:tc>
          <w:tcPr>
            <w:tcW w:w="1427" w:type="dxa"/>
            <w:tcBorders>
              <w:left w:val="single" w:sz="2" w:space="0" w:color="808080" w:themeColor="background1" w:themeShade="80"/>
            </w:tcBorders>
            <w:vAlign w:val="center"/>
          </w:tcPr>
          <w:p w14:paraId="612C528B" w14:textId="3C71A715"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112</w:t>
            </w:r>
            <w:r w:rsidR="00672C90">
              <w:rPr>
                <w:rFonts w:ascii="Arial" w:hAnsi="Arial" w:cs="Arial"/>
                <w:sz w:val="18"/>
                <w:szCs w:val="18"/>
              </w:rPr>
              <w:t>,</w:t>
            </w:r>
            <w:r>
              <w:rPr>
                <w:rFonts w:ascii="Arial" w:hAnsi="Arial" w:cs="Arial"/>
                <w:sz w:val="18"/>
                <w:szCs w:val="18"/>
              </w:rPr>
              <w:t xml:space="preserve">1 </w:t>
            </w:r>
          </w:p>
        </w:tc>
        <w:tc>
          <w:tcPr>
            <w:tcW w:w="1429" w:type="dxa"/>
            <w:tcBorders>
              <w:right w:val="single" w:sz="2" w:space="0" w:color="808080" w:themeColor="background1" w:themeShade="80"/>
            </w:tcBorders>
            <w:vAlign w:val="center"/>
          </w:tcPr>
          <w:p w14:paraId="7C677B41" w14:textId="42C05843"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177</w:t>
            </w:r>
            <w:r w:rsidR="00672C90">
              <w:rPr>
                <w:rFonts w:ascii="Arial" w:hAnsi="Arial" w:cs="Arial"/>
                <w:sz w:val="18"/>
                <w:szCs w:val="18"/>
              </w:rPr>
              <w:t>,</w:t>
            </w:r>
            <w:r>
              <w:rPr>
                <w:rFonts w:ascii="Arial" w:hAnsi="Arial" w:cs="Arial"/>
                <w:sz w:val="18"/>
                <w:szCs w:val="18"/>
              </w:rPr>
              <w:t xml:space="preserve">2 </w:t>
            </w:r>
          </w:p>
        </w:tc>
        <w:tc>
          <w:tcPr>
            <w:tcW w:w="1301" w:type="dxa"/>
            <w:tcBorders>
              <w:left w:val="single" w:sz="2" w:space="0" w:color="808080" w:themeColor="background1" w:themeShade="80"/>
            </w:tcBorders>
            <w:vAlign w:val="center"/>
          </w:tcPr>
          <w:p w14:paraId="28F067DF" w14:textId="6A78DF89"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678</w:t>
            </w:r>
            <w:r w:rsidR="00672C90">
              <w:rPr>
                <w:rFonts w:ascii="Arial" w:hAnsi="Arial" w:cs="Arial"/>
                <w:sz w:val="18"/>
                <w:szCs w:val="18"/>
              </w:rPr>
              <w:t>,</w:t>
            </w:r>
            <w:r>
              <w:rPr>
                <w:rFonts w:ascii="Arial" w:hAnsi="Arial" w:cs="Arial"/>
                <w:sz w:val="18"/>
                <w:szCs w:val="18"/>
              </w:rPr>
              <w:t xml:space="preserve">6 </w:t>
            </w:r>
          </w:p>
        </w:tc>
        <w:tc>
          <w:tcPr>
            <w:tcW w:w="1301" w:type="dxa"/>
            <w:vAlign w:val="center"/>
          </w:tcPr>
          <w:p w14:paraId="29CDA836" w14:textId="24CC5CF6"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699</w:t>
            </w:r>
            <w:r w:rsidR="00672C90">
              <w:rPr>
                <w:rFonts w:ascii="Arial" w:hAnsi="Arial" w:cs="Arial"/>
                <w:sz w:val="18"/>
                <w:szCs w:val="18"/>
              </w:rPr>
              <w:t>,</w:t>
            </w:r>
            <w:r>
              <w:rPr>
                <w:rFonts w:ascii="Arial" w:hAnsi="Arial" w:cs="Arial"/>
                <w:sz w:val="18"/>
                <w:szCs w:val="18"/>
              </w:rPr>
              <w:t xml:space="preserve">5 </w:t>
            </w:r>
          </w:p>
        </w:tc>
      </w:tr>
      <w:tr w:rsidR="00946673" w:rsidRPr="00CB2967" w14:paraId="2FD4FA22" w14:textId="77777777" w:rsidTr="00744EE5">
        <w:trPr>
          <w:trHeight w:val="225"/>
        </w:trPr>
        <w:tc>
          <w:tcPr>
            <w:tcW w:w="4858" w:type="dxa"/>
            <w:tcBorders>
              <w:right w:val="single" w:sz="2" w:space="0" w:color="808080" w:themeColor="background1" w:themeShade="80"/>
            </w:tcBorders>
            <w:vAlign w:val="center"/>
          </w:tcPr>
          <w:p w14:paraId="08BF6032" w14:textId="4714F520"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Προσαρμογές για:</w:t>
            </w:r>
          </w:p>
        </w:tc>
        <w:tc>
          <w:tcPr>
            <w:tcW w:w="1427" w:type="dxa"/>
            <w:tcBorders>
              <w:left w:val="single" w:sz="2" w:space="0" w:color="808080" w:themeColor="background1" w:themeShade="80"/>
            </w:tcBorders>
            <w:vAlign w:val="center"/>
          </w:tcPr>
          <w:p w14:paraId="30DA062D"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p>
        </w:tc>
        <w:tc>
          <w:tcPr>
            <w:tcW w:w="1429" w:type="dxa"/>
            <w:tcBorders>
              <w:right w:val="single" w:sz="2" w:space="0" w:color="808080" w:themeColor="background1" w:themeShade="80"/>
            </w:tcBorders>
            <w:vAlign w:val="center"/>
          </w:tcPr>
          <w:p w14:paraId="372BC60A"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p>
        </w:tc>
        <w:tc>
          <w:tcPr>
            <w:tcW w:w="1301" w:type="dxa"/>
            <w:tcBorders>
              <w:left w:val="single" w:sz="2" w:space="0" w:color="808080" w:themeColor="background1" w:themeShade="80"/>
            </w:tcBorders>
            <w:vAlign w:val="center"/>
          </w:tcPr>
          <w:p w14:paraId="2559315F"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p>
        </w:tc>
        <w:tc>
          <w:tcPr>
            <w:tcW w:w="1301" w:type="dxa"/>
            <w:vAlign w:val="center"/>
          </w:tcPr>
          <w:p w14:paraId="69C7C4C7"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p>
        </w:tc>
      </w:tr>
      <w:tr w:rsidR="00946673" w:rsidRPr="00CB2967" w14:paraId="2C83012A" w14:textId="77777777" w:rsidTr="00744EE5">
        <w:trPr>
          <w:trHeight w:val="225"/>
        </w:trPr>
        <w:tc>
          <w:tcPr>
            <w:tcW w:w="4858" w:type="dxa"/>
            <w:tcBorders>
              <w:right w:val="single" w:sz="2" w:space="0" w:color="808080" w:themeColor="background1" w:themeShade="80"/>
            </w:tcBorders>
            <w:vAlign w:val="center"/>
          </w:tcPr>
          <w:p w14:paraId="188CBD26" w14:textId="229FF1CD"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Αποσβέσεις και απομειώσεις</w:t>
            </w:r>
          </w:p>
        </w:tc>
        <w:tc>
          <w:tcPr>
            <w:tcW w:w="1427" w:type="dxa"/>
            <w:tcBorders>
              <w:left w:val="single" w:sz="2" w:space="0" w:color="808080" w:themeColor="background1" w:themeShade="80"/>
            </w:tcBorders>
            <w:vAlign w:val="center"/>
          </w:tcPr>
          <w:p w14:paraId="6A4129A1" w14:textId="43755388"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247</w:t>
            </w:r>
            <w:r w:rsidR="00672C90">
              <w:rPr>
                <w:rFonts w:ascii="Arial" w:hAnsi="Arial" w:cs="Arial"/>
                <w:sz w:val="18"/>
                <w:szCs w:val="18"/>
              </w:rPr>
              <w:t>,</w:t>
            </w:r>
            <w:r>
              <w:rPr>
                <w:rFonts w:ascii="Arial" w:hAnsi="Arial" w:cs="Arial"/>
                <w:sz w:val="18"/>
                <w:szCs w:val="18"/>
              </w:rPr>
              <w:t xml:space="preserve">2 </w:t>
            </w:r>
          </w:p>
        </w:tc>
        <w:tc>
          <w:tcPr>
            <w:tcW w:w="1429" w:type="dxa"/>
            <w:tcBorders>
              <w:right w:val="single" w:sz="2" w:space="0" w:color="808080" w:themeColor="background1" w:themeShade="80"/>
            </w:tcBorders>
            <w:vAlign w:val="center"/>
          </w:tcPr>
          <w:p w14:paraId="60E6E29F" w14:textId="68CB4B7C"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173</w:t>
            </w:r>
            <w:r w:rsidR="00672C90">
              <w:rPr>
                <w:rFonts w:ascii="Arial" w:hAnsi="Arial" w:cs="Arial"/>
                <w:sz w:val="18"/>
                <w:szCs w:val="18"/>
              </w:rPr>
              <w:t>,</w:t>
            </w:r>
            <w:r>
              <w:rPr>
                <w:rFonts w:ascii="Arial" w:hAnsi="Arial" w:cs="Arial"/>
                <w:sz w:val="18"/>
                <w:szCs w:val="18"/>
              </w:rPr>
              <w:t xml:space="preserve">2 </w:t>
            </w:r>
          </w:p>
        </w:tc>
        <w:tc>
          <w:tcPr>
            <w:tcW w:w="1301" w:type="dxa"/>
            <w:tcBorders>
              <w:left w:val="single" w:sz="2" w:space="0" w:color="808080" w:themeColor="background1" w:themeShade="80"/>
            </w:tcBorders>
            <w:vAlign w:val="center"/>
          </w:tcPr>
          <w:p w14:paraId="1490E580" w14:textId="7790B99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703</w:t>
            </w:r>
            <w:r w:rsidR="00672C90">
              <w:rPr>
                <w:rFonts w:ascii="Arial" w:hAnsi="Arial" w:cs="Arial"/>
                <w:sz w:val="18"/>
                <w:szCs w:val="18"/>
              </w:rPr>
              <w:t>,</w:t>
            </w:r>
            <w:r>
              <w:rPr>
                <w:rFonts w:ascii="Arial" w:hAnsi="Arial" w:cs="Arial"/>
                <w:sz w:val="18"/>
                <w:szCs w:val="18"/>
              </w:rPr>
              <w:t xml:space="preserve">3 </w:t>
            </w:r>
          </w:p>
        </w:tc>
        <w:tc>
          <w:tcPr>
            <w:tcW w:w="1301" w:type="dxa"/>
            <w:vAlign w:val="center"/>
          </w:tcPr>
          <w:p w14:paraId="15C11D05" w14:textId="0413AD0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666</w:t>
            </w:r>
            <w:r w:rsidR="00672C90">
              <w:rPr>
                <w:rFonts w:ascii="Arial" w:hAnsi="Arial" w:cs="Arial"/>
                <w:sz w:val="18"/>
                <w:szCs w:val="18"/>
              </w:rPr>
              <w:t>,</w:t>
            </w:r>
            <w:r>
              <w:rPr>
                <w:rFonts w:ascii="Arial" w:hAnsi="Arial" w:cs="Arial"/>
                <w:sz w:val="18"/>
                <w:szCs w:val="18"/>
              </w:rPr>
              <w:t xml:space="preserve">5 </w:t>
            </w:r>
          </w:p>
        </w:tc>
      </w:tr>
      <w:tr w:rsidR="00946673" w:rsidRPr="00CB2967" w14:paraId="08D6659D" w14:textId="77777777" w:rsidTr="00744EE5">
        <w:trPr>
          <w:trHeight w:val="214"/>
        </w:trPr>
        <w:tc>
          <w:tcPr>
            <w:tcW w:w="4858" w:type="dxa"/>
            <w:tcBorders>
              <w:right w:val="single" w:sz="2" w:space="0" w:color="808080" w:themeColor="background1" w:themeShade="80"/>
            </w:tcBorders>
            <w:vAlign w:val="center"/>
          </w:tcPr>
          <w:p w14:paraId="38D07283" w14:textId="01B5F8CB"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Κόστη σχετιζόμενα με προγράμματα εθελούσιας αποχώρησης</w:t>
            </w:r>
          </w:p>
        </w:tc>
        <w:tc>
          <w:tcPr>
            <w:tcW w:w="1427" w:type="dxa"/>
            <w:tcBorders>
              <w:left w:val="single" w:sz="2" w:space="0" w:color="808080" w:themeColor="background1" w:themeShade="80"/>
            </w:tcBorders>
            <w:vAlign w:val="center"/>
          </w:tcPr>
          <w:p w14:paraId="2FC5E5A8" w14:textId="739F4150"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672C90">
              <w:rPr>
                <w:rFonts w:ascii="Arial" w:hAnsi="Arial" w:cs="Arial"/>
                <w:sz w:val="18"/>
                <w:szCs w:val="18"/>
              </w:rPr>
              <w:t>,</w:t>
            </w:r>
            <w:r>
              <w:rPr>
                <w:rFonts w:ascii="Arial" w:hAnsi="Arial" w:cs="Arial"/>
                <w:sz w:val="18"/>
                <w:szCs w:val="18"/>
              </w:rPr>
              <w:t xml:space="preserve">5 </w:t>
            </w:r>
          </w:p>
        </w:tc>
        <w:tc>
          <w:tcPr>
            <w:tcW w:w="1429" w:type="dxa"/>
            <w:tcBorders>
              <w:right w:val="single" w:sz="2" w:space="0" w:color="808080" w:themeColor="background1" w:themeShade="80"/>
            </w:tcBorders>
            <w:vAlign w:val="center"/>
          </w:tcPr>
          <w:p w14:paraId="56081E3E" w14:textId="7F5912A3"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672C90">
              <w:rPr>
                <w:rFonts w:ascii="Arial" w:hAnsi="Arial" w:cs="Arial"/>
                <w:sz w:val="18"/>
                <w:szCs w:val="18"/>
              </w:rPr>
              <w:t>,</w:t>
            </w:r>
            <w:r>
              <w:rPr>
                <w:rFonts w:ascii="Arial" w:hAnsi="Arial" w:cs="Arial"/>
                <w:sz w:val="18"/>
                <w:szCs w:val="18"/>
              </w:rPr>
              <w:t xml:space="preserve">8 </w:t>
            </w:r>
          </w:p>
        </w:tc>
        <w:tc>
          <w:tcPr>
            <w:tcW w:w="1301" w:type="dxa"/>
            <w:tcBorders>
              <w:left w:val="single" w:sz="2" w:space="0" w:color="808080" w:themeColor="background1" w:themeShade="80"/>
            </w:tcBorders>
            <w:vAlign w:val="center"/>
          </w:tcPr>
          <w:p w14:paraId="107D23EB" w14:textId="3022D7F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33</w:t>
            </w:r>
            <w:r w:rsidR="00672C90">
              <w:rPr>
                <w:rFonts w:ascii="Arial" w:hAnsi="Arial" w:cs="Arial"/>
                <w:sz w:val="18"/>
                <w:szCs w:val="18"/>
              </w:rPr>
              <w:t>,</w:t>
            </w:r>
            <w:r>
              <w:rPr>
                <w:rFonts w:ascii="Arial" w:hAnsi="Arial" w:cs="Arial"/>
                <w:sz w:val="18"/>
                <w:szCs w:val="18"/>
              </w:rPr>
              <w:t xml:space="preserve">8 </w:t>
            </w:r>
          </w:p>
        </w:tc>
        <w:tc>
          <w:tcPr>
            <w:tcW w:w="1301" w:type="dxa"/>
            <w:vAlign w:val="center"/>
          </w:tcPr>
          <w:p w14:paraId="2BD7975C" w14:textId="4F1876BD"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35</w:t>
            </w:r>
            <w:r w:rsidR="00672C90">
              <w:rPr>
                <w:rFonts w:ascii="Arial" w:hAnsi="Arial" w:cs="Arial"/>
                <w:sz w:val="18"/>
                <w:szCs w:val="18"/>
              </w:rPr>
              <w:t>,</w:t>
            </w:r>
            <w:r>
              <w:rPr>
                <w:rFonts w:ascii="Arial" w:hAnsi="Arial" w:cs="Arial"/>
                <w:sz w:val="18"/>
                <w:szCs w:val="18"/>
              </w:rPr>
              <w:t xml:space="preserve">3 </w:t>
            </w:r>
          </w:p>
        </w:tc>
      </w:tr>
      <w:tr w:rsidR="00946673" w:rsidRPr="00CB2967" w14:paraId="0CC643DE" w14:textId="77777777" w:rsidTr="00744EE5">
        <w:trPr>
          <w:trHeight w:val="225"/>
        </w:trPr>
        <w:tc>
          <w:tcPr>
            <w:tcW w:w="4858" w:type="dxa"/>
            <w:tcBorders>
              <w:right w:val="single" w:sz="2" w:space="0" w:color="808080" w:themeColor="background1" w:themeShade="80"/>
            </w:tcBorders>
            <w:vAlign w:val="center"/>
          </w:tcPr>
          <w:p w14:paraId="2404EC90" w14:textId="1AC9BAEF"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αποζημίωση προσωπικού</w:t>
            </w:r>
          </w:p>
        </w:tc>
        <w:tc>
          <w:tcPr>
            <w:tcW w:w="1427" w:type="dxa"/>
            <w:tcBorders>
              <w:left w:val="single" w:sz="2" w:space="0" w:color="808080" w:themeColor="background1" w:themeShade="80"/>
            </w:tcBorders>
            <w:vAlign w:val="center"/>
          </w:tcPr>
          <w:p w14:paraId="6BF41073" w14:textId="48D00398"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672C90">
              <w:rPr>
                <w:rFonts w:ascii="Arial" w:hAnsi="Arial" w:cs="Arial"/>
                <w:sz w:val="18"/>
                <w:szCs w:val="18"/>
              </w:rPr>
              <w:t>,</w:t>
            </w:r>
            <w:r>
              <w:rPr>
                <w:rFonts w:ascii="Arial" w:hAnsi="Arial" w:cs="Arial"/>
                <w:sz w:val="18"/>
                <w:szCs w:val="18"/>
              </w:rPr>
              <w:t xml:space="preserve">7 </w:t>
            </w:r>
          </w:p>
        </w:tc>
        <w:tc>
          <w:tcPr>
            <w:tcW w:w="1429" w:type="dxa"/>
            <w:tcBorders>
              <w:right w:val="single" w:sz="2" w:space="0" w:color="808080" w:themeColor="background1" w:themeShade="80"/>
            </w:tcBorders>
            <w:vAlign w:val="center"/>
          </w:tcPr>
          <w:p w14:paraId="0D27F834" w14:textId="3C6CDDBE"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672C90">
              <w:rPr>
                <w:rFonts w:ascii="Arial" w:hAnsi="Arial" w:cs="Arial"/>
                <w:sz w:val="18"/>
                <w:szCs w:val="18"/>
              </w:rPr>
              <w:t>,</w:t>
            </w:r>
            <w:r>
              <w:rPr>
                <w:rFonts w:ascii="Arial" w:hAnsi="Arial" w:cs="Arial"/>
                <w:sz w:val="18"/>
                <w:szCs w:val="18"/>
              </w:rPr>
              <w:t xml:space="preserve">7 </w:t>
            </w:r>
          </w:p>
        </w:tc>
        <w:tc>
          <w:tcPr>
            <w:tcW w:w="1301" w:type="dxa"/>
            <w:tcBorders>
              <w:left w:val="single" w:sz="2" w:space="0" w:color="808080" w:themeColor="background1" w:themeShade="80"/>
            </w:tcBorders>
            <w:vAlign w:val="center"/>
          </w:tcPr>
          <w:p w14:paraId="51699012" w14:textId="4C58DD7A"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w:t>
            </w:r>
            <w:r w:rsidR="00672C90">
              <w:rPr>
                <w:rFonts w:ascii="Arial" w:hAnsi="Arial" w:cs="Arial"/>
                <w:sz w:val="18"/>
                <w:szCs w:val="18"/>
              </w:rPr>
              <w:t>,</w:t>
            </w:r>
            <w:r>
              <w:rPr>
                <w:rFonts w:ascii="Arial" w:hAnsi="Arial" w:cs="Arial"/>
                <w:sz w:val="18"/>
                <w:szCs w:val="18"/>
              </w:rPr>
              <w:t xml:space="preserve">3 </w:t>
            </w:r>
          </w:p>
        </w:tc>
        <w:tc>
          <w:tcPr>
            <w:tcW w:w="1301" w:type="dxa"/>
            <w:vAlign w:val="center"/>
          </w:tcPr>
          <w:p w14:paraId="59C8F0AF" w14:textId="0650FF11"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672C90">
              <w:rPr>
                <w:rFonts w:ascii="Arial" w:hAnsi="Arial" w:cs="Arial"/>
                <w:sz w:val="18"/>
                <w:szCs w:val="18"/>
              </w:rPr>
              <w:t>,</w:t>
            </w:r>
            <w:r>
              <w:rPr>
                <w:rFonts w:ascii="Arial" w:hAnsi="Arial" w:cs="Arial"/>
                <w:sz w:val="18"/>
                <w:szCs w:val="18"/>
              </w:rPr>
              <w:t xml:space="preserve">8 </w:t>
            </w:r>
          </w:p>
        </w:tc>
      </w:tr>
      <w:tr w:rsidR="00946673" w:rsidRPr="00CB2967" w14:paraId="62843E86" w14:textId="77777777" w:rsidTr="00744EE5">
        <w:trPr>
          <w:trHeight w:val="225"/>
        </w:trPr>
        <w:tc>
          <w:tcPr>
            <w:tcW w:w="4858" w:type="dxa"/>
            <w:tcBorders>
              <w:right w:val="single" w:sz="2" w:space="0" w:color="808080" w:themeColor="background1" w:themeShade="80"/>
            </w:tcBorders>
            <w:vAlign w:val="center"/>
          </w:tcPr>
          <w:p w14:paraId="2D264A68" w14:textId="6BC33C9E"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λογαριασμό νεότητας</w:t>
            </w:r>
          </w:p>
        </w:tc>
        <w:tc>
          <w:tcPr>
            <w:tcW w:w="1427" w:type="dxa"/>
            <w:tcBorders>
              <w:left w:val="single" w:sz="2" w:space="0" w:color="808080" w:themeColor="background1" w:themeShade="80"/>
            </w:tcBorders>
            <w:vAlign w:val="center"/>
          </w:tcPr>
          <w:p w14:paraId="31013872" w14:textId="77777777"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w:t>
            </w:r>
          </w:p>
        </w:tc>
        <w:tc>
          <w:tcPr>
            <w:tcW w:w="1429" w:type="dxa"/>
            <w:tcBorders>
              <w:right w:val="single" w:sz="2" w:space="0" w:color="808080" w:themeColor="background1" w:themeShade="80"/>
            </w:tcBorders>
            <w:vAlign w:val="center"/>
          </w:tcPr>
          <w:p w14:paraId="16DF3DE4" w14:textId="77777777"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w:t>
            </w:r>
          </w:p>
        </w:tc>
        <w:tc>
          <w:tcPr>
            <w:tcW w:w="1301" w:type="dxa"/>
            <w:tcBorders>
              <w:left w:val="single" w:sz="2" w:space="0" w:color="808080" w:themeColor="background1" w:themeShade="80"/>
            </w:tcBorders>
            <w:vAlign w:val="center"/>
          </w:tcPr>
          <w:p w14:paraId="0D560A74"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c>
          <w:tcPr>
            <w:tcW w:w="1301" w:type="dxa"/>
            <w:vAlign w:val="center"/>
          </w:tcPr>
          <w:p w14:paraId="38DBC794" w14:textId="3799DEA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672C90">
              <w:rPr>
                <w:rFonts w:ascii="Arial" w:hAnsi="Arial" w:cs="Arial"/>
                <w:sz w:val="18"/>
                <w:szCs w:val="18"/>
              </w:rPr>
              <w:t>,</w:t>
            </w:r>
            <w:r>
              <w:rPr>
                <w:rFonts w:ascii="Arial" w:hAnsi="Arial" w:cs="Arial"/>
                <w:sz w:val="18"/>
                <w:szCs w:val="18"/>
              </w:rPr>
              <w:t>4)</w:t>
            </w:r>
          </w:p>
        </w:tc>
      </w:tr>
      <w:tr w:rsidR="00946673" w:rsidRPr="00CB2967" w14:paraId="62AADFFC" w14:textId="77777777" w:rsidTr="00744EE5">
        <w:trPr>
          <w:trHeight w:val="214"/>
        </w:trPr>
        <w:tc>
          <w:tcPr>
            <w:tcW w:w="4858" w:type="dxa"/>
            <w:tcBorders>
              <w:right w:val="single" w:sz="2" w:space="0" w:color="808080" w:themeColor="background1" w:themeShade="80"/>
            </w:tcBorders>
            <w:vAlign w:val="center"/>
          </w:tcPr>
          <w:p w14:paraId="065F78A5" w14:textId="699E9E97"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Συναλλαγματικές διαφορές. καθαρές</w:t>
            </w:r>
          </w:p>
        </w:tc>
        <w:tc>
          <w:tcPr>
            <w:tcW w:w="1427" w:type="dxa"/>
            <w:tcBorders>
              <w:left w:val="single" w:sz="2" w:space="0" w:color="808080" w:themeColor="background1" w:themeShade="80"/>
            </w:tcBorders>
            <w:vAlign w:val="center"/>
          </w:tcPr>
          <w:p w14:paraId="17A3FCE1" w14:textId="77777777"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429" w:type="dxa"/>
            <w:tcBorders>
              <w:right w:val="single" w:sz="2" w:space="0" w:color="808080" w:themeColor="background1" w:themeShade="80"/>
            </w:tcBorders>
            <w:vAlign w:val="center"/>
          </w:tcPr>
          <w:p w14:paraId="0928FA4A" w14:textId="25E77F6D"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5)</w:t>
            </w:r>
          </w:p>
        </w:tc>
        <w:tc>
          <w:tcPr>
            <w:tcW w:w="1301" w:type="dxa"/>
            <w:tcBorders>
              <w:left w:val="single" w:sz="2" w:space="0" w:color="808080" w:themeColor="background1" w:themeShade="80"/>
            </w:tcBorders>
            <w:vAlign w:val="center"/>
          </w:tcPr>
          <w:p w14:paraId="0416A55B" w14:textId="3323C7C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7)</w:t>
            </w:r>
          </w:p>
        </w:tc>
        <w:tc>
          <w:tcPr>
            <w:tcW w:w="1301" w:type="dxa"/>
            <w:vAlign w:val="center"/>
          </w:tcPr>
          <w:p w14:paraId="73D23792" w14:textId="7288803A"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w:t>
            </w:r>
            <w:r w:rsidR="00672C90">
              <w:rPr>
                <w:rFonts w:ascii="Arial" w:hAnsi="Arial" w:cs="Arial"/>
                <w:sz w:val="18"/>
                <w:szCs w:val="18"/>
              </w:rPr>
              <w:t>,</w:t>
            </w:r>
            <w:r>
              <w:rPr>
                <w:rFonts w:ascii="Arial" w:hAnsi="Arial" w:cs="Arial"/>
                <w:sz w:val="18"/>
                <w:szCs w:val="18"/>
              </w:rPr>
              <w:t>1)</w:t>
            </w:r>
          </w:p>
        </w:tc>
      </w:tr>
      <w:tr w:rsidR="00946673" w:rsidRPr="00CB2967" w14:paraId="481EB4EE" w14:textId="77777777" w:rsidTr="00744EE5">
        <w:trPr>
          <w:trHeight w:val="179"/>
        </w:trPr>
        <w:tc>
          <w:tcPr>
            <w:tcW w:w="4858" w:type="dxa"/>
            <w:tcBorders>
              <w:right w:val="single" w:sz="2" w:space="0" w:color="808080" w:themeColor="background1" w:themeShade="80"/>
            </w:tcBorders>
            <w:vAlign w:val="center"/>
          </w:tcPr>
          <w:p w14:paraId="505FC1CE" w14:textId="25F4F73A"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w:t>
            </w:r>
            <w:r w:rsidRPr="00E94B28">
              <w:rPr>
                <w:rFonts w:ascii="Arial" w:hAnsi="Arial" w:cs="Arial"/>
                <w:sz w:val="18"/>
                <w:szCs w:val="18"/>
                <w:lang w:val="el-GR"/>
              </w:rPr>
              <w:t>Κέρδη) / ζημιές από συμμετοχές και λοιπά χρηματοοικονομικά περιουσιακά στοιχεία - Απομειώσεις</w:t>
            </w:r>
          </w:p>
        </w:tc>
        <w:tc>
          <w:tcPr>
            <w:tcW w:w="1427" w:type="dxa"/>
            <w:tcBorders>
              <w:left w:val="single" w:sz="2" w:space="0" w:color="808080" w:themeColor="background1" w:themeShade="80"/>
            </w:tcBorders>
            <w:vAlign w:val="center"/>
          </w:tcPr>
          <w:p w14:paraId="049ACDF6" w14:textId="5CB4AA24"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672C90">
              <w:rPr>
                <w:rFonts w:ascii="Arial" w:hAnsi="Arial" w:cs="Arial"/>
                <w:sz w:val="18"/>
                <w:szCs w:val="18"/>
              </w:rPr>
              <w:t>,</w:t>
            </w:r>
            <w:r>
              <w:rPr>
                <w:rFonts w:ascii="Arial" w:hAnsi="Arial" w:cs="Arial"/>
                <w:sz w:val="18"/>
                <w:szCs w:val="18"/>
              </w:rPr>
              <w:t>1)</w:t>
            </w:r>
          </w:p>
        </w:tc>
        <w:tc>
          <w:tcPr>
            <w:tcW w:w="1429" w:type="dxa"/>
            <w:tcBorders>
              <w:right w:val="single" w:sz="2" w:space="0" w:color="808080" w:themeColor="background1" w:themeShade="80"/>
            </w:tcBorders>
            <w:vAlign w:val="center"/>
          </w:tcPr>
          <w:p w14:paraId="41DC0CD7" w14:textId="2BD255D5"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5)</w:t>
            </w:r>
          </w:p>
        </w:tc>
        <w:tc>
          <w:tcPr>
            <w:tcW w:w="1301" w:type="dxa"/>
            <w:tcBorders>
              <w:left w:val="single" w:sz="2" w:space="0" w:color="808080" w:themeColor="background1" w:themeShade="80"/>
            </w:tcBorders>
            <w:vAlign w:val="center"/>
          </w:tcPr>
          <w:p w14:paraId="31E56FF8" w14:textId="3851E87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(30</w:t>
            </w:r>
            <w:r w:rsidR="00672C90">
              <w:rPr>
                <w:rFonts w:ascii="Arial" w:hAnsi="Arial" w:cs="Arial"/>
                <w:sz w:val="18"/>
                <w:szCs w:val="18"/>
              </w:rPr>
              <w:t>,</w:t>
            </w:r>
            <w:r>
              <w:rPr>
                <w:rFonts w:ascii="Arial" w:hAnsi="Arial" w:cs="Arial"/>
                <w:sz w:val="18"/>
                <w:szCs w:val="18"/>
              </w:rPr>
              <w:t>5)</w:t>
            </w:r>
          </w:p>
        </w:tc>
        <w:tc>
          <w:tcPr>
            <w:tcW w:w="1301" w:type="dxa"/>
            <w:vAlign w:val="center"/>
          </w:tcPr>
          <w:p w14:paraId="4A054B18" w14:textId="6A22E183"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9)</w:t>
            </w:r>
          </w:p>
        </w:tc>
      </w:tr>
      <w:tr w:rsidR="00946673" w:rsidRPr="00CB2967" w14:paraId="7D075628"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vAlign w:val="center"/>
          </w:tcPr>
          <w:p w14:paraId="5D0FE6CD" w14:textId="0FE5EA3B" w:rsidR="00946673" w:rsidRPr="00C21D91" w:rsidRDefault="00946673" w:rsidP="00946673">
            <w:pPr>
              <w:pStyle w:val="ColorfulList-Accent11"/>
              <w:tabs>
                <w:tab w:val="left" w:pos="0"/>
                <w:tab w:val="left" w:pos="284"/>
              </w:tabs>
              <w:ind w:left="0" w:right="-90"/>
              <w:rPr>
                <w:rFonts w:ascii="Arial" w:hAnsi="Arial" w:cs="Arial"/>
                <w:sz w:val="17"/>
                <w:szCs w:val="17"/>
              </w:rPr>
            </w:pPr>
            <w:r w:rsidRPr="00145E91">
              <w:rPr>
                <w:rFonts w:ascii="Arial" w:hAnsi="Arial" w:cs="Arial"/>
                <w:sz w:val="18"/>
                <w:szCs w:val="18"/>
                <w:lang w:val="el-GR"/>
              </w:rPr>
              <w:t>Χρηματοοικονομικά έξοδα, καθαρά</w:t>
            </w:r>
          </w:p>
        </w:tc>
        <w:tc>
          <w:tcPr>
            <w:tcW w:w="1427" w:type="dxa"/>
            <w:tcBorders>
              <w:left w:val="single" w:sz="2" w:space="0" w:color="808080" w:themeColor="background1" w:themeShade="80"/>
              <w:bottom w:val="single" w:sz="2" w:space="0" w:color="808080" w:themeColor="background1" w:themeShade="80"/>
            </w:tcBorders>
            <w:vAlign w:val="bottom"/>
          </w:tcPr>
          <w:p w14:paraId="4616263B" w14:textId="3FA8433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4</w:t>
            </w:r>
            <w:r w:rsidR="00672C90">
              <w:rPr>
                <w:rFonts w:ascii="Arial" w:hAnsi="Arial" w:cs="Arial"/>
                <w:sz w:val="18"/>
                <w:szCs w:val="18"/>
              </w:rPr>
              <w:t>,</w:t>
            </w:r>
            <w:r w:rsidRPr="007E5627">
              <w:rPr>
                <w:rFonts w:ascii="Arial" w:hAnsi="Arial" w:cs="Arial"/>
                <w:sz w:val="18"/>
                <w:szCs w:val="18"/>
              </w:rPr>
              <w:t>3</w:t>
            </w:r>
          </w:p>
        </w:tc>
        <w:tc>
          <w:tcPr>
            <w:tcW w:w="1429" w:type="dxa"/>
            <w:tcBorders>
              <w:bottom w:val="single" w:sz="2" w:space="0" w:color="808080" w:themeColor="background1" w:themeShade="80"/>
              <w:right w:val="single" w:sz="2" w:space="0" w:color="808080" w:themeColor="background1" w:themeShade="80"/>
            </w:tcBorders>
            <w:vAlign w:val="bottom"/>
          </w:tcPr>
          <w:p w14:paraId="5AC58484" w14:textId="5E339BA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2</w:t>
            </w:r>
            <w:r w:rsidR="00672C90">
              <w:rPr>
                <w:rFonts w:ascii="Arial" w:hAnsi="Arial" w:cs="Arial"/>
                <w:sz w:val="18"/>
                <w:szCs w:val="18"/>
              </w:rPr>
              <w:t>,</w:t>
            </w:r>
            <w:r w:rsidRPr="007E5627">
              <w:rPr>
                <w:rFonts w:ascii="Arial" w:hAnsi="Arial" w:cs="Arial"/>
                <w:sz w:val="18"/>
                <w:szCs w:val="18"/>
              </w:rPr>
              <w:t>3</w:t>
            </w:r>
          </w:p>
        </w:tc>
        <w:tc>
          <w:tcPr>
            <w:tcW w:w="1301" w:type="dxa"/>
            <w:tcBorders>
              <w:left w:val="single" w:sz="2" w:space="0" w:color="808080" w:themeColor="background1" w:themeShade="80"/>
              <w:bottom w:val="single" w:sz="2" w:space="0" w:color="808080" w:themeColor="background1" w:themeShade="80"/>
            </w:tcBorders>
            <w:vAlign w:val="bottom"/>
          </w:tcPr>
          <w:p w14:paraId="6679A90C" w14:textId="7B507FF3"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21</w:t>
            </w:r>
            <w:r w:rsidR="00672C90">
              <w:rPr>
                <w:rFonts w:ascii="Arial" w:hAnsi="Arial" w:cs="Arial"/>
                <w:sz w:val="18"/>
                <w:szCs w:val="18"/>
              </w:rPr>
              <w:t>,</w:t>
            </w:r>
            <w:r w:rsidRPr="007E5627">
              <w:rPr>
                <w:rFonts w:ascii="Arial" w:hAnsi="Arial" w:cs="Arial"/>
                <w:sz w:val="18"/>
                <w:szCs w:val="18"/>
              </w:rPr>
              <w:t>0</w:t>
            </w:r>
          </w:p>
        </w:tc>
        <w:tc>
          <w:tcPr>
            <w:tcW w:w="1301" w:type="dxa"/>
            <w:tcBorders>
              <w:bottom w:val="single" w:sz="2" w:space="0" w:color="808080" w:themeColor="background1" w:themeShade="80"/>
            </w:tcBorders>
            <w:vAlign w:val="bottom"/>
          </w:tcPr>
          <w:p w14:paraId="64571D2E" w14:textId="53C26E0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20</w:t>
            </w:r>
            <w:r w:rsidR="00672C90">
              <w:rPr>
                <w:rFonts w:ascii="Arial" w:hAnsi="Arial" w:cs="Arial"/>
                <w:sz w:val="18"/>
                <w:szCs w:val="18"/>
              </w:rPr>
              <w:t>,</w:t>
            </w:r>
            <w:r w:rsidRPr="007E5627">
              <w:rPr>
                <w:rFonts w:ascii="Arial" w:hAnsi="Arial" w:cs="Arial"/>
                <w:sz w:val="18"/>
                <w:szCs w:val="18"/>
              </w:rPr>
              <w:t>2</w:t>
            </w:r>
          </w:p>
        </w:tc>
      </w:tr>
      <w:tr w:rsidR="00946673" w:rsidRPr="00CB2967" w14:paraId="1ECE42CD" w14:textId="77777777" w:rsidTr="00744EE5">
        <w:trPr>
          <w:trHeight w:val="225"/>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8144AE" w14:textId="772111A5"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bottom"/>
          </w:tcPr>
          <w:p w14:paraId="03347C57" w14:textId="010812BE"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b/>
                <w:bCs/>
                <w:i/>
                <w:iCs/>
                <w:color w:val="000000"/>
                <w:sz w:val="18"/>
                <w:szCs w:val="18"/>
              </w:rPr>
              <w:t>37</w:t>
            </w:r>
            <w:r w:rsidR="00672C90">
              <w:rPr>
                <w:rFonts w:ascii="Arial" w:hAnsi="Arial" w:cs="Arial"/>
                <w:b/>
                <w:bCs/>
                <w:i/>
                <w:iCs/>
                <w:color w:val="000000"/>
                <w:sz w:val="18"/>
                <w:szCs w:val="18"/>
              </w:rPr>
              <w:t>,</w:t>
            </w:r>
            <w:r>
              <w:rPr>
                <w:rFonts w:ascii="Arial" w:hAnsi="Arial" w:cs="Arial"/>
                <w:b/>
                <w:bCs/>
                <w:i/>
                <w:iCs/>
                <w:color w:val="000000"/>
                <w:sz w:val="18"/>
                <w:szCs w:val="18"/>
              </w:rPr>
              <w:t xml:space="preserve">7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bottom"/>
          </w:tcPr>
          <w:p w14:paraId="0F92C0C4" w14:textId="45BC1B03"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b/>
                <w:bCs/>
                <w:i/>
                <w:iCs/>
                <w:color w:val="000000"/>
                <w:sz w:val="18"/>
                <w:szCs w:val="18"/>
              </w:rPr>
              <w:t>63</w:t>
            </w:r>
            <w:r w:rsidR="00672C90">
              <w:rPr>
                <w:rFonts w:ascii="Arial" w:hAnsi="Arial" w:cs="Arial"/>
                <w:b/>
                <w:bCs/>
                <w:i/>
                <w:iCs/>
                <w:color w:val="000000"/>
                <w:sz w:val="18"/>
                <w:szCs w:val="18"/>
              </w:rPr>
              <w:t>,</w:t>
            </w:r>
            <w:r>
              <w:rPr>
                <w:rFonts w:ascii="Arial" w:hAnsi="Arial" w:cs="Arial"/>
                <w:b/>
                <w:bCs/>
                <w:i/>
                <w:iCs/>
                <w:color w:val="000000"/>
                <w:sz w:val="18"/>
                <w:szCs w:val="18"/>
              </w:rPr>
              <w:t xml:space="preserve">4 </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bottom"/>
          </w:tcPr>
          <w:p w14:paraId="0BF9EAA9" w14:textId="2F532AFF" w:rsidR="00946673" w:rsidRPr="00C21D91" w:rsidRDefault="00946673" w:rsidP="00946673">
            <w:pPr>
              <w:pStyle w:val="ColorfulList-Accent11"/>
              <w:tabs>
                <w:tab w:val="left" w:pos="0"/>
                <w:tab w:val="left" w:pos="284"/>
              </w:tabs>
              <w:ind w:left="0" w:right="-90"/>
              <w:jc w:val="center"/>
              <w:rPr>
                <w:rFonts w:ascii="Arial" w:hAnsi="Arial" w:cs="Arial"/>
                <w:b/>
                <w:bCs/>
                <w:i/>
                <w:iCs/>
                <w:sz w:val="18"/>
                <w:szCs w:val="18"/>
              </w:rPr>
            </w:pPr>
            <w:r>
              <w:rPr>
                <w:rFonts w:ascii="Arial" w:hAnsi="Arial" w:cs="Arial"/>
                <w:b/>
                <w:bCs/>
                <w:i/>
                <w:iCs/>
                <w:color w:val="000000"/>
                <w:sz w:val="18"/>
                <w:szCs w:val="18"/>
              </w:rPr>
              <w:t>(3</w:t>
            </w:r>
            <w:r w:rsidR="00672C90">
              <w:rPr>
                <w:rFonts w:ascii="Arial" w:hAnsi="Arial" w:cs="Arial"/>
                <w:b/>
                <w:bCs/>
                <w:i/>
                <w:iCs/>
                <w:color w:val="000000"/>
                <w:sz w:val="18"/>
                <w:szCs w:val="18"/>
              </w:rPr>
              <w:t>,</w:t>
            </w:r>
            <w:r>
              <w:rPr>
                <w:rFonts w:ascii="Arial" w:hAnsi="Arial" w:cs="Arial"/>
                <w:b/>
                <w:bCs/>
                <w:i/>
                <w:iCs/>
                <w:color w:val="000000"/>
                <w:sz w:val="18"/>
                <w:szCs w:val="18"/>
              </w:rPr>
              <w:t>5)</w:t>
            </w:r>
          </w:p>
        </w:tc>
        <w:tc>
          <w:tcPr>
            <w:tcW w:w="1301" w:type="dxa"/>
            <w:tcBorders>
              <w:top w:val="single" w:sz="2" w:space="0" w:color="808080" w:themeColor="background1" w:themeShade="80"/>
              <w:bottom w:val="single" w:sz="2" w:space="0" w:color="808080" w:themeColor="background1" w:themeShade="80"/>
            </w:tcBorders>
            <w:vAlign w:val="bottom"/>
          </w:tcPr>
          <w:p w14:paraId="0DAC1C81" w14:textId="729C838B" w:rsidR="00946673" w:rsidRPr="00C21D91" w:rsidRDefault="00946673" w:rsidP="00946673">
            <w:pPr>
              <w:pStyle w:val="ColorfulList-Accent11"/>
              <w:tabs>
                <w:tab w:val="left" w:pos="0"/>
                <w:tab w:val="left" w:pos="284"/>
              </w:tabs>
              <w:ind w:left="0" w:right="-90"/>
              <w:jc w:val="center"/>
              <w:rPr>
                <w:rFonts w:ascii="Arial" w:hAnsi="Arial" w:cs="Arial"/>
                <w:b/>
                <w:bCs/>
                <w:i/>
                <w:iCs/>
                <w:sz w:val="18"/>
                <w:szCs w:val="18"/>
              </w:rPr>
            </w:pPr>
            <w:r>
              <w:rPr>
                <w:rFonts w:ascii="Arial" w:hAnsi="Arial" w:cs="Arial"/>
                <w:b/>
                <w:bCs/>
                <w:i/>
                <w:iCs/>
                <w:color w:val="000000"/>
                <w:sz w:val="18"/>
                <w:szCs w:val="18"/>
              </w:rPr>
              <w:t>23</w:t>
            </w:r>
            <w:r w:rsidR="00672C90">
              <w:rPr>
                <w:rFonts w:ascii="Arial" w:hAnsi="Arial" w:cs="Arial"/>
                <w:b/>
                <w:bCs/>
                <w:i/>
                <w:iCs/>
                <w:color w:val="000000"/>
                <w:sz w:val="18"/>
                <w:szCs w:val="18"/>
              </w:rPr>
              <w:t>,</w:t>
            </w:r>
            <w:r>
              <w:rPr>
                <w:rFonts w:ascii="Arial" w:hAnsi="Arial" w:cs="Arial"/>
                <w:b/>
                <w:bCs/>
                <w:i/>
                <w:iCs/>
                <w:color w:val="000000"/>
                <w:sz w:val="18"/>
                <w:szCs w:val="18"/>
              </w:rPr>
              <w:t xml:space="preserve">0 </w:t>
            </w:r>
          </w:p>
        </w:tc>
      </w:tr>
      <w:tr w:rsidR="00946673" w:rsidRPr="00CB2967" w14:paraId="0854B28E" w14:textId="77777777" w:rsidTr="00744EE5">
        <w:trPr>
          <w:trHeight w:val="214"/>
        </w:trPr>
        <w:tc>
          <w:tcPr>
            <w:tcW w:w="4858" w:type="dxa"/>
            <w:tcBorders>
              <w:top w:val="single" w:sz="2" w:space="0" w:color="808080" w:themeColor="background1" w:themeShade="80"/>
              <w:right w:val="single" w:sz="2" w:space="0" w:color="808080" w:themeColor="background1" w:themeShade="80"/>
            </w:tcBorders>
            <w:vAlign w:val="center"/>
          </w:tcPr>
          <w:p w14:paraId="69E58651" w14:textId="3225C7DB" w:rsidR="00946673" w:rsidRPr="00C21D91" w:rsidRDefault="00946673" w:rsidP="00946673">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αποθεμάτων</w:t>
            </w:r>
          </w:p>
        </w:tc>
        <w:tc>
          <w:tcPr>
            <w:tcW w:w="1427" w:type="dxa"/>
            <w:tcBorders>
              <w:top w:val="single" w:sz="2" w:space="0" w:color="808080" w:themeColor="background1" w:themeShade="80"/>
              <w:left w:val="single" w:sz="2" w:space="0" w:color="808080" w:themeColor="background1" w:themeShade="80"/>
            </w:tcBorders>
            <w:vAlign w:val="center"/>
          </w:tcPr>
          <w:p w14:paraId="255EB515" w14:textId="43A8B695"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3</w:t>
            </w:r>
            <w:r w:rsidR="00672C90">
              <w:rPr>
                <w:rFonts w:ascii="Arial" w:hAnsi="Arial" w:cs="Arial"/>
                <w:i/>
                <w:iCs/>
                <w:sz w:val="18"/>
                <w:szCs w:val="18"/>
              </w:rPr>
              <w:t>,</w:t>
            </w:r>
            <w:r>
              <w:rPr>
                <w:rFonts w:ascii="Arial" w:hAnsi="Arial" w:cs="Arial"/>
                <w:i/>
                <w:iCs/>
                <w:sz w:val="18"/>
                <w:szCs w:val="18"/>
              </w:rPr>
              <w:t xml:space="preserve">2 </w:t>
            </w:r>
          </w:p>
        </w:tc>
        <w:tc>
          <w:tcPr>
            <w:tcW w:w="1429" w:type="dxa"/>
            <w:tcBorders>
              <w:top w:val="single" w:sz="2" w:space="0" w:color="808080" w:themeColor="background1" w:themeShade="80"/>
              <w:right w:val="single" w:sz="2" w:space="0" w:color="808080" w:themeColor="background1" w:themeShade="80"/>
            </w:tcBorders>
            <w:vAlign w:val="center"/>
          </w:tcPr>
          <w:p w14:paraId="3D55B06F" w14:textId="28B86C8B"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(7</w:t>
            </w:r>
            <w:r w:rsidR="00672C90">
              <w:rPr>
                <w:rFonts w:ascii="Arial" w:hAnsi="Arial" w:cs="Arial"/>
                <w:i/>
                <w:iCs/>
                <w:sz w:val="18"/>
                <w:szCs w:val="18"/>
              </w:rPr>
              <w:t>,</w:t>
            </w:r>
            <w:r>
              <w:rPr>
                <w:rFonts w:ascii="Arial" w:hAnsi="Arial" w:cs="Arial"/>
                <w:i/>
                <w:iCs/>
                <w:sz w:val="18"/>
                <w:szCs w:val="18"/>
              </w:rPr>
              <w:t>8)</w:t>
            </w:r>
          </w:p>
        </w:tc>
        <w:tc>
          <w:tcPr>
            <w:tcW w:w="1301" w:type="dxa"/>
            <w:tcBorders>
              <w:top w:val="single" w:sz="2" w:space="0" w:color="808080" w:themeColor="background1" w:themeShade="80"/>
              <w:left w:val="single" w:sz="2" w:space="0" w:color="808080" w:themeColor="background1" w:themeShade="80"/>
            </w:tcBorders>
            <w:vAlign w:val="center"/>
          </w:tcPr>
          <w:p w14:paraId="1B5E68F2" w14:textId="25EFEDC0"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5</w:t>
            </w:r>
            <w:r w:rsidR="00672C90">
              <w:rPr>
                <w:rFonts w:ascii="Arial" w:hAnsi="Arial" w:cs="Arial"/>
                <w:i/>
                <w:iCs/>
                <w:sz w:val="18"/>
                <w:szCs w:val="18"/>
              </w:rPr>
              <w:t>,</w:t>
            </w:r>
            <w:r>
              <w:rPr>
                <w:rFonts w:ascii="Arial" w:hAnsi="Arial" w:cs="Arial"/>
                <w:i/>
                <w:iCs/>
                <w:sz w:val="18"/>
                <w:szCs w:val="18"/>
              </w:rPr>
              <w:t xml:space="preserve">4 </w:t>
            </w:r>
          </w:p>
        </w:tc>
        <w:tc>
          <w:tcPr>
            <w:tcW w:w="1301" w:type="dxa"/>
            <w:tcBorders>
              <w:top w:val="single" w:sz="2" w:space="0" w:color="808080" w:themeColor="background1" w:themeShade="80"/>
            </w:tcBorders>
            <w:vAlign w:val="center"/>
          </w:tcPr>
          <w:p w14:paraId="0FECBE7E" w14:textId="628A294E"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(4</w:t>
            </w:r>
            <w:r w:rsidR="00672C90">
              <w:rPr>
                <w:rFonts w:ascii="Arial" w:hAnsi="Arial" w:cs="Arial"/>
                <w:i/>
                <w:iCs/>
                <w:sz w:val="18"/>
                <w:szCs w:val="18"/>
              </w:rPr>
              <w:t>,</w:t>
            </w:r>
            <w:r>
              <w:rPr>
                <w:rFonts w:ascii="Arial" w:hAnsi="Arial" w:cs="Arial"/>
                <w:i/>
                <w:iCs/>
                <w:sz w:val="18"/>
                <w:szCs w:val="18"/>
              </w:rPr>
              <w:t>9)</w:t>
            </w:r>
          </w:p>
        </w:tc>
      </w:tr>
      <w:tr w:rsidR="00946673" w:rsidRPr="00CB2967" w14:paraId="68AFA188" w14:textId="77777777" w:rsidTr="00744EE5">
        <w:trPr>
          <w:trHeight w:val="225"/>
        </w:trPr>
        <w:tc>
          <w:tcPr>
            <w:tcW w:w="4858" w:type="dxa"/>
            <w:tcBorders>
              <w:right w:val="single" w:sz="2" w:space="0" w:color="808080" w:themeColor="background1" w:themeShade="80"/>
            </w:tcBorders>
            <w:vAlign w:val="center"/>
          </w:tcPr>
          <w:p w14:paraId="3452AFB4" w14:textId="7F6A100F" w:rsidR="00946673" w:rsidRPr="00C21D91" w:rsidRDefault="00946673" w:rsidP="00946673">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απαιτήσεων</w:t>
            </w:r>
          </w:p>
        </w:tc>
        <w:tc>
          <w:tcPr>
            <w:tcW w:w="1427" w:type="dxa"/>
            <w:tcBorders>
              <w:left w:val="single" w:sz="2" w:space="0" w:color="808080" w:themeColor="background1" w:themeShade="80"/>
            </w:tcBorders>
            <w:vAlign w:val="center"/>
          </w:tcPr>
          <w:p w14:paraId="632B561E" w14:textId="106949C2"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28</w:t>
            </w:r>
            <w:r w:rsidR="00672C90">
              <w:rPr>
                <w:rFonts w:ascii="Arial" w:hAnsi="Arial" w:cs="Arial"/>
                <w:i/>
                <w:iCs/>
                <w:sz w:val="18"/>
                <w:szCs w:val="18"/>
              </w:rPr>
              <w:t>,</w:t>
            </w:r>
            <w:r>
              <w:rPr>
                <w:rFonts w:ascii="Arial" w:hAnsi="Arial" w:cs="Arial"/>
                <w:i/>
                <w:iCs/>
                <w:sz w:val="18"/>
                <w:szCs w:val="18"/>
              </w:rPr>
              <w:t xml:space="preserve">8 </w:t>
            </w:r>
          </w:p>
        </w:tc>
        <w:tc>
          <w:tcPr>
            <w:tcW w:w="1429" w:type="dxa"/>
            <w:tcBorders>
              <w:right w:val="single" w:sz="2" w:space="0" w:color="808080" w:themeColor="background1" w:themeShade="80"/>
            </w:tcBorders>
            <w:vAlign w:val="center"/>
          </w:tcPr>
          <w:p w14:paraId="1093B2EA" w14:textId="42BAD256"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(24</w:t>
            </w:r>
            <w:r w:rsidR="00672C90">
              <w:rPr>
                <w:rFonts w:ascii="Arial" w:hAnsi="Arial" w:cs="Arial"/>
                <w:i/>
                <w:iCs/>
                <w:sz w:val="18"/>
                <w:szCs w:val="18"/>
              </w:rPr>
              <w:t>,</w:t>
            </w:r>
            <w:r>
              <w:rPr>
                <w:rFonts w:ascii="Arial" w:hAnsi="Arial" w:cs="Arial"/>
                <w:i/>
                <w:iCs/>
                <w:sz w:val="18"/>
                <w:szCs w:val="18"/>
              </w:rPr>
              <w:t>7)</w:t>
            </w:r>
          </w:p>
        </w:tc>
        <w:tc>
          <w:tcPr>
            <w:tcW w:w="1301" w:type="dxa"/>
            <w:tcBorders>
              <w:left w:val="single" w:sz="2" w:space="0" w:color="808080" w:themeColor="background1" w:themeShade="80"/>
            </w:tcBorders>
            <w:vAlign w:val="center"/>
          </w:tcPr>
          <w:p w14:paraId="0D4371B5" w14:textId="4583DE8D"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(51</w:t>
            </w:r>
            <w:r w:rsidR="00672C90">
              <w:rPr>
                <w:rFonts w:ascii="Arial" w:hAnsi="Arial" w:cs="Arial"/>
                <w:i/>
                <w:iCs/>
                <w:sz w:val="18"/>
                <w:szCs w:val="18"/>
              </w:rPr>
              <w:t>,</w:t>
            </w:r>
            <w:r>
              <w:rPr>
                <w:rFonts w:ascii="Arial" w:hAnsi="Arial" w:cs="Arial"/>
                <w:i/>
                <w:iCs/>
                <w:sz w:val="18"/>
                <w:szCs w:val="18"/>
              </w:rPr>
              <w:t>5)</w:t>
            </w:r>
          </w:p>
        </w:tc>
        <w:tc>
          <w:tcPr>
            <w:tcW w:w="1301" w:type="dxa"/>
            <w:vAlign w:val="center"/>
          </w:tcPr>
          <w:p w14:paraId="6F6DF728" w14:textId="125DDCE5"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(99</w:t>
            </w:r>
            <w:r w:rsidR="00672C90">
              <w:rPr>
                <w:rFonts w:ascii="Arial" w:hAnsi="Arial" w:cs="Arial"/>
                <w:i/>
                <w:iCs/>
                <w:sz w:val="18"/>
                <w:szCs w:val="18"/>
              </w:rPr>
              <w:t>,</w:t>
            </w:r>
            <w:r>
              <w:rPr>
                <w:rFonts w:ascii="Arial" w:hAnsi="Arial" w:cs="Arial"/>
                <w:i/>
                <w:iCs/>
                <w:sz w:val="18"/>
                <w:szCs w:val="18"/>
              </w:rPr>
              <w:t>3)</w:t>
            </w:r>
          </w:p>
        </w:tc>
      </w:tr>
      <w:tr w:rsidR="00946673" w:rsidRPr="00CB2967" w14:paraId="2F6279B7" w14:textId="77777777" w:rsidTr="00744EE5">
        <w:trPr>
          <w:trHeight w:val="199"/>
        </w:trPr>
        <w:tc>
          <w:tcPr>
            <w:tcW w:w="4858" w:type="dxa"/>
            <w:tcBorders>
              <w:right w:val="single" w:sz="2" w:space="0" w:color="808080" w:themeColor="background1" w:themeShade="80"/>
            </w:tcBorders>
            <w:vAlign w:val="center"/>
          </w:tcPr>
          <w:p w14:paraId="34D4BCBE" w14:textId="79EF991F" w:rsidR="00946673" w:rsidRPr="00946673" w:rsidRDefault="00946673" w:rsidP="00946673">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(Μείωση) / αύξηση υποχρεώσεων (πλην δανεισμού)</w:t>
            </w:r>
          </w:p>
        </w:tc>
        <w:tc>
          <w:tcPr>
            <w:tcW w:w="1427" w:type="dxa"/>
            <w:tcBorders>
              <w:left w:val="single" w:sz="2" w:space="0" w:color="808080" w:themeColor="background1" w:themeShade="80"/>
            </w:tcBorders>
            <w:vAlign w:val="center"/>
          </w:tcPr>
          <w:p w14:paraId="605992CC" w14:textId="50C8639A"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5</w:t>
            </w:r>
            <w:r w:rsidR="00672C90">
              <w:rPr>
                <w:rFonts w:ascii="Arial" w:hAnsi="Arial" w:cs="Arial"/>
                <w:i/>
                <w:iCs/>
                <w:sz w:val="18"/>
                <w:szCs w:val="18"/>
              </w:rPr>
              <w:t>,</w:t>
            </w:r>
            <w:r>
              <w:rPr>
                <w:rFonts w:ascii="Arial" w:hAnsi="Arial" w:cs="Arial"/>
                <w:i/>
                <w:iCs/>
                <w:sz w:val="18"/>
                <w:szCs w:val="18"/>
              </w:rPr>
              <w:t xml:space="preserve">7 </w:t>
            </w:r>
          </w:p>
        </w:tc>
        <w:tc>
          <w:tcPr>
            <w:tcW w:w="1429" w:type="dxa"/>
            <w:tcBorders>
              <w:right w:val="single" w:sz="2" w:space="0" w:color="808080" w:themeColor="background1" w:themeShade="80"/>
            </w:tcBorders>
            <w:vAlign w:val="center"/>
          </w:tcPr>
          <w:p w14:paraId="67618AC7" w14:textId="0AA7241B"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95</w:t>
            </w:r>
            <w:r w:rsidR="00672C90">
              <w:rPr>
                <w:rFonts w:ascii="Arial" w:hAnsi="Arial" w:cs="Arial"/>
                <w:i/>
                <w:iCs/>
                <w:sz w:val="18"/>
                <w:szCs w:val="18"/>
              </w:rPr>
              <w:t>,</w:t>
            </w:r>
            <w:r>
              <w:rPr>
                <w:rFonts w:ascii="Arial" w:hAnsi="Arial" w:cs="Arial"/>
                <w:i/>
                <w:iCs/>
                <w:sz w:val="18"/>
                <w:szCs w:val="18"/>
              </w:rPr>
              <w:t xml:space="preserve">9 </w:t>
            </w:r>
          </w:p>
        </w:tc>
        <w:tc>
          <w:tcPr>
            <w:tcW w:w="1301" w:type="dxa"/>
            <w:tcBorders>
              <w:left w:val="single" w:sz="2" w:space="0" w:color="808080" w:themeColor="background1" w:themeShade="80"/>
            </w:tcBorders>
            <w:vAlign w:val="center"/>
          </w:tcPr>
          <w:p w14:paraId="2415D900" w14:textId="0ADDAEA0"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42</w:t>
            </w:r>
            <w:r w:rsidR="00672C90">
              <w:rPr>
                <w:rFonts w:ascii="Arial" w:hAnsi="Arial" w:cs="Arial"/>
                <w:i/>
                <w:iCs/>
                <w:sz w:val="18"/>
                <w:szCs w:val="18"/>
              </w:rPr>
              <w:t>,</w:t>
            </w:r>
            <w:r>
              <w:rPr>
                <w:rFonts w:ascii="Arial" w:hAnsi="Arial" w:cs="Arial"/>
                <w:i/>
                <w:iCs/>
                <w:sz w:val="18"/>
                <w:szCs w:val="18"/>
              </w:rPr>
              <w:t xml:space="preserve">6 </w:t>
            </w:r>
          </w:p>
        </w:tc>
        <w:tc>
          <w:tcPr>
            <w:tcW w:w="1301" w:type="dxa"/>
            <w:vAlign w:val="center"/>
          </w:tcPr>
          <w:p w14:paraId="75328D45" w14:textId="6F883B82"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127</w:t>
            </w:r>
            <w:r w:rsidR="00672C90">
              <w:rPr>
                <w:rFonts w:ascii="Arial" w:hAnsi="Arial" w:cs="Arial"/>
                <w:i/>
                <w:iCs/>
                <w:sz w:val="18"/>
                <w:szCs w:val="18"/>
              </w:rPr>
              <w:t>,</w:t>
            </w:r>
            <w:r>
              <w:rPr>
                <w:rFonts w:ascii="Arial" w:hAnsi="Arial" w:cs="Arial"/>
                <w:i/>
                <w:iCs/>
                <w:sz w:val="18"/>
                <w:szCs w:val="18"/>
              </w:rPr>
              <w:t xml:space="preserve">2 </w:t>
            </w:r>
          </w:p>
        </w:tc>
      </w:tr>
      <w:tr w:rsidR="00946673" w:rsidRPr="00CB2967" w14:paraId="318366B6" w14:textId="77777777" w:rsidTr="00744EE5">
        <w:trPr>
          <w:trHeight w:val="225"/>
        </w:trPr>
        <w:tc>
          <w:tcPr>
            <w:tcW w:w="4858" w:type="dxa"/>
            <w:tcBorders>
              <w:right w:val="single" w:sz="2" w:space="0" w:color="808080" w:themeColor="background1" w:themeShade="80"/>
            </w:tcBorders>
            <w:vAlign w:val="center"/>
          </w:tcPr>
          <w:p w14:paraId="6FE43FD0" w14:textId="548D3642" w:rsidR="00946673" w:rsidRPr="00C21D91" w:rsidRDefault="00946673" w:rsidP="00946673">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Καταβολές προγραμμάτων εθελούσιας αποχώρησης</w:t>
            </w:r>
          </w:p>
        </w:tc>
        <w:tc>
          <w:tcPr>
            <w:tcW w:w="1427" w:type="dxa"/>
            <w:tcBorders>
              <w:left w:val="single" w:sz="2" w:space="0" w:color="808080" w:themeColor="background1" w:themeShade="80"/>
            </w:tcBorders>
            <w:vAlign w:val="center"/>
          </w:tcPr>
          <w:p w14:paraId="227102B4" w14:textId="6FC5F154"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(7</w:t>
            </w:r>
            <w:r w:rsidR="00672C90">
              <w:rPr>
                <w:rFonts w:ascii="Arial" w:hAnsi="Arial" w:cs="Arial"/>
                <w:sz w:val="18"/>
                <w:szCs w:val="18"/>
              </w:rPr>
              <w:t>,</w:t>
            </w:r>
            <w:r>
              <w:rPr>
                <w:rFonts w:ascii="Arial" w:hAnsi="Arial" w:cs="Arial"/>
                <w:sz w:val="18"/>
                <w:szCs w:val="18"/>
              </w:rPr>
              <w:t>4)</w:t>
            </w:r>
          </w:p>
        </w:tc>
        <w:tc>
          <w:tcPr>
            <w:tcW w:w="1429" w:type="dxa"/>
            <w:tcBorders>
              <w:right w:val="single" w:sz="2" w:space="0" w:color="808080" w:themeColor="background1" w:themeShade="80"/>
            </w:tcBorders>
            <w:vAlign w:val="center"/>
          </w:tcPr>
          <w:p w14:paraId="64817BD8" w14:textId="74A1B511"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(11</w:t>
            </w:r>
            <w:r w:rsidR="00672C90">
              <w:rPr>
                <w:rFonts w:ascii="Arial" w:hAnsi="Arial" w:cs="Arial"/>
                <w:sz w:val="18"/>
                <w:szCs w:val="18"/>
              </w:rPr>
              <w:t>,</w:t>
            </w:r>
            <w:r>
              <w:rPr>
                <w:rFonts w:ascii="Arial" w:hAnsi="Arial" w:cs="Arial"/>
                <w:sz w:val="18"/>
                <w:szCs w:val="18"/>
              </w:rPr>
              <w:t>2)</w:t>
            </w:r>
          </w:p>
        </w:tc>
        <w:tc>
          <w:tcPr>
            <w:tcW w:w="1301" w:type="dxa"/>
            <w:tcBorders>
              <w:left w:val="single" w:sz="2" w:space="0" w:color="808080" w:themeColor="background1" w:themeShade="80"/>
            </w:tcBorders>
            <w:vAlign w:val="center"/>
          </w:tcPr>
          <w:p w14:paraId="5679001C" w14:textId="3E667C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(41</w:t>
            </w:r>
            <w:r w:rsidR="00672C90">
              <w:rPr>
                <w:rFonts w:ascii="Arial" w:hAnsi="Arial" w:cs="Arial"/>
                <w:sz w:val="18"/>
                <w:szCs w:val="18"/>
              </w:rPr>
              <w:t>,</w:t>
            </w:r>
            <w:r>
              <w:rPr>
                <w:rFonts w:ascii="Arial" w:hAnsi="Arial" w:cs="Arial"/>
                <w:sz w:val="18"/>
                <w:szCs w:val="18"/>
              </w:rPr>
              <w:t>5)</w:t>
            </w:r>
          </w:p>
        </w:tc>
        <w:tc>
          <w:tcPr>
            <w:tcW w:w="1301" w:type="dxa"/>
            <w:vAlign w:val="center"/>
          </w:tcPr>
          <w:p w14:paraId="7B060890" w14:textId="3120DCF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(39</w:t>
            </w:r>
            <w:r w:rsidR="00672C90">
              <w:rPr>
                <w:rFonts w:ascii="Arial" w:hAnsi="Arial" w:cs="Arial"/>
                <w:sz w:val="18"/>
                <w:szCs w:val="18"/>
              </w:rPr>
              <w:t>,</w:t>
            </w:r>
            <w:r>
              <w:rPr>
                <w:rFonts w:ascii="Arial" w:hAnsi="Arial" w:cs="Arial"/>
                <w:sz w:val="18"/>
                <w:szCs w:val="18"/>
              </w:rPr>
              <w:t>9)</w:t>
            </w:r>
          </w:p>
        </w:tc>
      </w:tr>
      <w:tr w:rsidR="00946673" w:rsidRPr="00CB2967" w14:paraId="4ED30430" w14:textId="77777777" w:rsidTr="00744EE5">
        <w:trPr>
          <w:trHeight w:val="450"/>
        </w:trPr>
        <w:tc>
          <w:tcPr>
            <w:tcW w:w="4858" w:type="dxa"/>
            <w:tcBorders>
              <w:right w:val="single" w:sz="2" w:space="0" w:color="808080" w:themeColor="background1" w:themeShade="80"/>
            </w:tcBorders>
            <w:vAlign w:val="center"/>
          </w:tcPr>
          <w:p w14:paraId="19082B43" w14:textId="426219C4" w:rsidR="00946673" w:rsidRPr="00946673" w:rsidRDefault="00946673" w:rsidP="00946673">
            <w:pPr>
              <w:ind w:right="7"/>
              <w:rPr>
                <w:rFonts w:ascii="Arial" w:hAnsi="Arial" w:cs="Arial"/>
                <w:b/>
                <w:i/>
                <w:sz w:val="17"/>
                <w:szCs w:val="17"/>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427" w:type="dxa"/>
            <w:tcBorders>
              <w:left w:val="single" w:sz="2" w:space="0" w:color="808080" w:themeColor="background1" w:themeShade="80"/>
            </w:tcBorders>
            <w:vAlign w:val="center"/>
          </w:tcPr>
          <w:p w14:paraId="69706654" w14:textId="5F3D9591"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w:t>
            </w:r>
            <w:r w:rsidR="00672C90">
              <w:rPr>
                <w:rFonts w:ascii="Arial" w:hAnsi="Arial" w:cs="Arial"/>
                <w:sz w:val="18"/>
                <w:szCs w:val="18"/>
              </w:rPr>
              <w:t>,</w:t>
            </w:r>
            <w:r>
              <w:rPr>
                <w:rFonts w:ascii="Arial" w:hAnsi="Arial" w:cs="Arial"/>
                <w:sz w:val="18"/>
                <w:szCs w:val="18"/>
              </w:rPr>
              <w:t>5)</w:t>
            </w:r>
          </w:p>
        </w:tc>
        <w:tc>
          <w:tcPr>
            <w:tcW w:w="1429" w:type="dxa"/>
            <w:tcBorders>
              <w:right w:val="single" w:sz="2" w:space="0" w:color="808080" w:themeColor="background1" w:themeShade="80"/>
            </w:tcBorders>
            <w:vAlign w:val="center"/>
          </w:tcPr>
          <w:p w14:paraId="18129F2D" w14:textId="05A0F0FC"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2)</w:t>
            </w:r>
          </w:p>
        </w:tc>
        <w:tc>
          <w:tcPr>
            <w:tcW w:w="1301" w:type="dxa"/>
            <w:tcBorders>
              <w:left w:val="single" w:sz="2" w:space="0" w:color="808080" w:themeColor="background1" w:themeShade="80"/>
            </w:tcBorders>
            <w:vAlign w:val="center"/>
          </w:tcPr>
          <w:p w14:paraId="1D714217" w14:textId="48E3C87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672C90">
              <w:rPr>
                <w:rFonts w:ascii="Arial" w:hAnsi="Arial" w:cs="Arial"/>
                <w:sz w:val="18"/>
                <w:szCs w:val="18"/>
              </w:rPr>
              <w:t>,</w:t>
            </w:r>
            <w:r>
              <w:rPr>
                <w:rFonts w:ascii="Arial" w:hAnsi="Arial" w:cs="Arial"/>
                <w:sz w:val="18"/>
                <w:szCs w:val="18"/>
              </w:rPr>
              <w:t>1)</w:t>
            </w:r>
          </w:p>
        </w:tc>
        <w:tc>
          <w:tcPr>
            <w:tcW w:w="1301" w:type="dxa"/>
            <w:vAlign w:val="center"/>
          </w:tcPr>
          <w:p w14:paraId="1D011D70" w14:textId="26DC1815"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(8</w:t>
            </w:r>
            <w:r w:rsidR="00672C90">
              <w:rPr>
                <w:rFonts w:ascii="Arial" w:hAnsi="Arial" w:cs="Arial"/>
                <w:sz w:val="18"/>
                <w:szCs w:val="18"/>
              </w:rPr>
              <w:t>,</w:t>
            </w:r>
            <w:r>
              <w:rPr>
                <w:rFonts w:ascii="Arial" w:hAnsi="Arial" w:cs="Arial"/>
                <w:sz w:val="18"/>
                <w:szCs w:val="18"/>
              </w:rPr>
              <w:t>8)</w:t>
            </w:r>
          </w:p>
        </w:tc>
      </w:tr>
      <w:tr w:rsidR="00946673" w:rsidRPr="00CB2967" w14:paraId="3964E757" w14:textId="77777777" w:rsidTr="00744EE5">
        <w:trPr>
          <w:trHeight w:val="290"/>
        </w:trPr>
        <w:tc>
          <w:tcPr>
            <w:tcW w:w="4858" w:type="dxa"/>
            <w:tcBorders>
              <w:right w:val="single" w:sz="2" w:space="0" w:color="808080" w:themeColor="background1" w:themeShade="80"/>
            </w:tcBorders>
            <w:vAlign w:val="center"/>
          </w:tcPr>
          <w:p w14:paraId="10548F9D" w14:textId="726C759C" w:rsidR="00946673" w:rsidRPr="00946673" w:rsidRDefault="00946673" w:rsidP="00946673">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427" w:type="dxa"/>
            <w:tcBorders>
              <w:left w:val="single" w:sz="2" w:space="0" w:color="808080" w:themeColor="background1" w:themeShade="80"/>
            </w:tcBorders>
            <w:vAlign w:val="center"/>
          </w:tcPr>
          <w:p w14:paraId="17163C46" w14:textId="37C54E79"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9)</w:t>
            </w:r>
          </w:p>
        </w:tc>
        <w:tc>
          <w:tcPr>
            <w:tcW w:w="1429" w:type="dxa"/>
            <w:tcBorders>
              <w:right w:val="single" w:sz="2" w:space="0" w:color="808080" w:themeColor="background1" w:themeShade="80"/>
            </w:tcBorders>
            <w:vAlign w:val="center"/>
          </w:tcPr>
          <w:p w14:paraId="4B1312C9" w14:textId="36038736"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(3</w:t>
            </w:r>
            <w:r w:rsidR="00672C90">
              <w:rPr>
                <w:rFonts w:ascii="Arial" w:hAnsi="Arial" w:cs="Arial"/>
                <w:sz w:val="18"/>
                <w:szCs w:val="18"/>
              </w:rPr>
              <w:t>,</w:t>
            </w:r>
            <w:r>
              <w:rPr>
                <w:rFonts w:ascii="Arial" w:hAnsi="Arial" w:cs="Arial"/>
                <w:sz w:val="18"/>
                <w:szCs w:val="18"/>
              </w:rPr>
              <w:t>1)</w:t>
            </w:r>
          </w:p>
        </w:tc>
        <w:tc>
          <w:tcPr>
            <w:tcW w:w="1301" w:type="dxa"/>
            <w:tcBorders>
              <w:left w:val="single" w:sz="2" w:space="0" w:color="808080" w:themeColor="background1" w:themeShade="80"/>
            </w:tcBorders>
            <w:vAlign w:val="center"/>
          </w:tcPr>
          <w:p w14:paraId="35C47C31" w14:textId="4A29639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(16</w:t>
            </w:r>
            <w:r w:rsidR="00672C90">
              <w:rPr>
                <w:rFonts w:ascii="Arial" w:hAnsi="Arial" w:cs="Arial"/>
                <w:sz w:val="18"/>
                <w:szCs w:val="18"/>
              </w:rPr>
              <w:t>,</w:t>
            </w:r>
            <w:r>
              <w:rPr>
                <w:rFonts w:ascii="Arial" w:hAnsi="Arial" w:cs="Arial"/>
                <w:sz w:val="18"/>
                <w:szCs w:val="18"/>
              </w:rPr>
              <w:t>7)</w:t>
            </w:r>
          </w:p>
        </w:tc>
        <w:tc>
          <w:tcPr>
            <w:tcW w:w="1301" w:type="dxa"/>
            <w:vAlign w:val="center"/>
          </w:tcPr>
          <w:p w14:paraId="4DDD2F1A" w14:textId="5FD0D5F0"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(20</w:t>
            </w:r>
            <w:r w:rsidR="00672C90">
              <w:rPr>
                <w:rFonts w:ascii="Arial" w:hAnsi="Arial" w:cs="Arial"/>
                <w:sz w:val="18"/>
                <w:szCs w:val="18"/>
              </w:rPr>
              <w:t>,</w:t>
            </w:r>
            <w:r>
              <w:rPr>
                <w:rFonts w:ascii="Arial" w:hAnsi="Arial" w:cs="Arial"/>
                <w:sz w:val="18"/>
                <w:szCs w:val="18"/>
              </w:rPr>
              <w:t>1)</w:t>
            </w:r>
          </w:p>
        </w:tc>
      </w:tr>
      <w:tr w:rsidR="00946673" w:rsidRPr="00CB2967" w14:paraId="3DD36D2F" w14:textId="77777777" w:rsidTr="00744EE5">
        <w:trPr>
          <w:trHeight w:val="214"/>
        </w:trPr>
        <w:tc>
          <w:tcPr>
            <w:tcW w:w="4858" w:type="dxa"/>
            <w:tcBorders>
              <w:right w:val="single" w:sz="2" w:space="0" w:color="808080" w:themeColor="background1" w:themeShade="80"/>
            </w:tcBorders>
            <w:vAlign w:val="center"/>
          </w:tcPr>
          <w:p w14:paraId="6F0BC7D9" w14:textId="12399F9C" w:rsidR="00946673" w:rsidRPr="00C21D91" w:rsidRDefault="00946673" w:rsidP="00946673">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Τόκοι μισθώσεων καταβεβλημένοι</w:t>
            </w:r>
          </w:p>
        </w:tc>
        <w:tc>
          <w:tcPr>
            <w:tcW w:w="1427" w:type="dxa"/>
            <w:tcBorders>
              <w:left w:val="single" w:sz="2" w:space="0" w:color="808080" w:themeColor="background1" w:themeShade="80"/>
            </w:tcBorders>
            <w:vAlign w:val="center"/>
          </w:tcPr>
          <w:p w14:paraId="31FEC878" w14:textId="129CD374"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7)</w:t>
            </w:r>
          </w:p>
        </w:tc>
        <w:tc>
          <w:tcPr>
            <w:tcW w:w="1429" w:type="dxa"/>
            <w:tcBorders>
              <w:right w:val="single" w:sz="2" w:space="0" w:color="808080" w:themeColor="background1" w:themeShade="80"/>
            </w:tcBorders>
            <w:vAlign w:val="center"/>
          </w:tcPr>
          <w:p w14:paraId="165D6828" w14:textId="3F048077"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6)</w:t>
            </w:r>
          </w:p>
        </w:tc>
        <w:tc>
          <w:tcPr>
            <w:tcW w:w="1301" w:type="dxa"/>
            <w:tcBorders>
              <w:left w:val="single" w:sz="2" w:space="0" w:color="808080" w:themeColor="background1" w:themeShade="80"/>
            </w:tcBorders>
            <w:vAlign w:val="center"/>
          </w:tcPr>
          <w:p w14:paraId="187181BA" w14:textId="51400B50"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672C90">
              <w:rPr>
                <w:rFonts w:ascii="Arial" w:hAnsi="Arial" w:cs="Arial"/>
                <w:sz w:val="18"/>
                <w:szCs w:val="18"/>
              </w:rPr>
              <w:t>,</w:t>
            </w:r>
            <w:r>
              <w:rPr>
                <w:rFonts w:ascii="Arial" w:hAnsi="Arial" w:cs="Arial"/>
                <w:sz w:val="18"/>
                <w:szCs w:val="18"/>
              </w:rPr>
              <w:t>1)</w:t>
            </w:r>
          </w:p>
        </w:tc>
        <w:tc>
          <w:tcPr>
            <w:tcW w:w="1301" w:type="dxa"/>
            <w:vAlign w:val="center"/>
          </w:tcPr>
          <w:p w14:paraId="558A8314" w14:textId="6BFC099B"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(9</w:t>
            </w:r>
            <w:r w:rsidR="00672C90">
              <w:rPr>
                <w:rFonts w:ascii="Arial" w:hAnsi="Arial" w:cs="Arial"/>
                <w:sz w:val="18"/>
                <w:szCs w:val="18"/>
              </w:rPr>
              <w:t>,</w:t>
            </w:r>
            <w:r>
              <w:rPr>
                <w:rFonts w:ascii="Arial" w:hAnsi="Arial" w:cs="Arial"/>
                <w:sz w:val="18"/>
                <w:szCs w:val="18"/>
              </w:rPr>
              <w:t>2)</w:t>
            </w:r>
          </w:p>
        </w:tc>
      </w:tr>
      <w:tr w:rsidR="00946673" w:rsidRPr="00CB2967" w14:paraId="09054545"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vAlign w:val="center"/>
          </w:tcPr>
          <w:p w14:paraId="73107285" w14:textId="4B484FAD" w:rsidR="00946673" w:rsidRPr="00C21D91" w:rsidRDefault="00946673" w:rsidP="00946673">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Φόρος εισοδήματος καταβεβλημένος</w:t>
            </w:r>
          </w:p>
        </w:tc>
        <w:tc>
          <w:tcPr>
            <w:tcW w:w="1427" w:type="dxa"/>
            <w:tcBorders>
              <w:left w:val="single" w:sz="2" w:space="0" w:color="808080" w:themeColor="background1" w:themeShade="80"/>
              <w:bottom w:val="single" w:sz="2" w:space="0" w:color="808080" w:themeColor="background1" w:themeShade="80"/>
            </w:tcBorders>
            <w:vAlign w:val="center"/>
          </w:tcPr>
          <w:p w14:paraId="59065F56" w14:textId="65C1CC22"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(109</w:t>
            </w:r>
            <w:r w:rsidR="00672C90">
              <w:rPr>
                <w:rFonts w:ascii="Arial" w:hAnsi="Arial" w:cs="Arial"/>
                <w:sz w:val="18"/>
                <w:szCs w:val="18"/>
              </w:rPr>
              <w:t>,</w:t>
            </w:r>
            <w:r>
              <w:rPr>
                <w:rFonts w:ascii="Arial" w:hAnsi="Arial" w:cs="Arial"/>
                <w:sz w:val="18"/>
                <w:szCs w:val="18"/>
              </w:rPr>
              <w:t>0)</w:t>
            </w:r>
          </w:p>
        </w:tc>
        <w:tc>
          <w:tcPr>
            <w:tcW w:w="1429" w:type="dxa"/>
            <w:tcBorders>
              <w:bottom w:val="single" w:sz="2" w:space="0" w:color="808080" w:themeColor="background1" w:themeShade="80"/>
              <w:right w:val="single" w:sz="2" w:space="0" w:color="808080" w:themeColor="background1" w:themeShade="80"/>
            </w:tcBorders>
            <w:vAlign w:val="center"/>
          </w:tcPr>
          <w:p w14:paraId="64844C5E" w14:textId="4C3826B3"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(88</w:t>
            </w:r>
            <w:r w:rsidR="00672C90">
              <w:rPr>
                <w:rFonts w:ascii="Arial" w:hAnsi="Arial" w:cs="Arial"/>
                <w:sz w:val="18"/>
                <w:szCs w:val="18"/>
              </w:rPr>
              <w:t>,</w:t>
            </w:r>
            <w:r>
              <w:rPr>
                <w:rFonts w:ascii="Arial" w:hAnsi="Arial" w:cs="Arial"/>
                <w:sz w:val="18"/>
                <w:szCs w:val="18"/>
              </w:rPr>
              <w:t>9)</w:t>
            </w:r>
          </w:p>
        </w:tc>
        <w:tc>
          <w:tcPr>
            <w:tcW w:w="1301" w:type="dxa"/>
            <w:tcBorders>
              <w:left w:val="single" w:sz="2" w:space="0" w:color="808080" w:themeColor="background1" w:themeShade="80"/>
              <w:bottom w:val="single" w:sz="2" w:space="0" w:color="808080" w:themeColor="background1" w:themeShade="80"/>
            </w:tcBorders>
            <w:vAlign w:val="center"/>
          </w:tcPr>
          <w:p w14:paraId="4272A217" w14:textId="01495393"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(227</w:t>
            </w:r>
            <w:r w:rsidR="00672C90">
              <w:rPr>
                <w:rFonts w:ascii="Arial" w:hAnsi="Arial" w:cs="Arial"/>
                <w:sz w:val="18"/>
                <w:szCs w:val="18"/>
              </w:rPr>
              <w:t>,</w:t>
            </w:r>
            <w:r>
              <w:rPr>
                <w:rFonts w:ascii="Arial" w:hAnsi="Arial" w:cs="Arial"/>
                <w:sz w:val="18"/>
                <w:szCs w:val="18"/>
              </w:rPr>
              <w:t>7)</w:t>
            </w:r>
          </w:p>
        </w:tc>
        <w:tc>
          <w:tcPr>
            <w:tcW w:w="1301" w:type="dxa"/>
            <w:tcBorders>
              <w:bottom w:val="single" w:sz="2" w:space="0" w:color="808080" w:themeColor="background1" w:themeShade="80"/>
            </w:tcBorders>
            <w:vAlign w:val="center"/>
          </w:tcPr>
          <w:p w14:paraId="42C1346E" w14:textId="322CD04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(169</w:t>
            </w:r>
            <w:r w:rsidR="00672C90">
              <w:rPr>
                <w:rFonts w:ascii="Arial" w:hAnsi="Arial" w:cs="Arial"/>
                <w:sz w:val="18"/>
                <w:szCs w:val="18"/>
              </w:rPr>
              <w:t>,</w:t>
            </w:r>
            <w:r>
              <w:rPr>
                <w:rFonts w:ascii="Arial" w:hAnsi="Arial" w:cs="Arial"/>
                <w:sz w:val="18"/>
                <w:szCs w:val="18"/>
              </w:rPr>
              <w:t>8)</w:t>
            </w:r>
          </w:p>
        </w:tc>
      </w:tr>
      <w:tr w:rsidR="00946673" w:rsidRPr="00CB2967" w14:paraId="3F3414E6" w14:textId="77777777" w:rsidTr="00744EE5">
        <w:trPr>
          <w:trHeight w:val="300"/>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3F0B5C" w14:textId="2A4F7460" w:rsidR="00946673" w:rsidRPr="00946673" w:rsidRDefault="00946673" w:rsidP="00946673">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FA3911A" w14:textId="36468BA0"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283</w:t>
            </w:r>
            <w:r w:rsidR="00672C90">
              <w:rPr>
                <w:rFonts w:ascii="Arial" w:hAnsi="Arial" w:cs="Arial"/>
                <w:b/>
                <w:bCs/>
                <w:sz w:val="18"/>
                <w:szCs w:val="18"/>
              </w:rPr>
              <w:t>,</w:t>
            </w:r>
            <w:r>
              <w:rPr>
                <w:rFonts w:ascii="Arial" w:hAnsi="Arial" w:cs="Arial"/>
                <w:b/>
                <w:bCs/>
                <w:sz w:val="18"/>
                <w:szCs w:val="18"/>
              </w:rPr>
              <w:t xml:space="preserve">9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0273A0" w14:textId="51D04E7A"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313</w:t>
            </w:r>
            <w:r w:rsidR="00672C90">
              <w:rPr>
                <w:rFonts w:ascii="Arial" w:hAnsi="Arial" w:cs="Arial"/>
                <w:b/>
                <w:bCs/>
                <w:sz w:val="18"/>
                <w:szCs w:val="18"/>
              </w:rPr>
              <w:t>,</w:t>
            </w:r>
            <w:r>
              <w:rPr>
                <w:rFonts w:ascii="Arial" w:hAnsi="Arial" w:cs="Arial"/>
                <w:b/>
                <w:bCs/>
                <w:sz w:val="18"/>
                <w:szCs w:val="18"/>
              </w:rPr>
              <w:t xml:space="preserve">6 </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1AB184" w14:textId="4D15C89E"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672C90">
              <w:rPr>
                <w:rFonts w:ascii="Arial" w:hAnsi="Arial" w:cs="Arial"/>
                <w:b/>
                <w:bCs/>
                <w:sz w:val="18"/>
                <w:szCs w:val="18"/>
              </w:rPr>
              <w:t>.</w:t>
            </w:r>
            <w:r>
              <w:rPr>
                <w:rFonts w:ascii="Arial" w:hAnsi="Arial" w:cs="Arial"/>
                <w:b/>
                <w:bCs/>
                <w:sz w:val="18"/>
                <w:szCs w:val="18"/>
              </w:rPr>
              <w:t>102</w:t>
            </w:r>
            <w:r w:rsidR="00672C90">
              <w:rPr>
                <w:rFonts w:ascii="Arial" w:hAnsi="Arial" w:cs="Arial"/>
                <w:b/>
                <w:bCs/>
                <w:sz w:val="18"/>
                <w:szCs w:val="18"/>
              </w:rPr>
              <w:t>,</w:t>
            </w:r>
            <w:r>
              <w:rPr>
                <w:rFonts w:ascii="Arial" w:hAnsi="Arial" w:cs="Arial"/>
                <w:b/>
                <w:bCs/>
                <w:sz w:val="18"/>
                <w:szCs w:val="18"/>
              </w:rPr>
              <w:t xml:space="preserve">2 </w:t>
            </w:r>
          </w:p>
        </w:tc>
        <w:tc>
          <w:tcPr>
            <w:tcW w:w="1301"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19007A" w14:textId="366C05BB"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672C90">
              <w:rPr>
                <w:rFonts w:ascii="Arial" w:hAnsi="Arial" w:cs="Arial"/>
                <w:b/>
                <w:bCs/>
                <w:sz w:val="18"/>
                <w:szCs w:val="18"/>
              </w:rPr>
              <w:t>.</w:t>
            </w:r>
            <w:r>
              <w:rPr>
                <w:rFonts w:ascii="Arial" w:hAnsi="Arial" w:cs="Arial"/>
                <w:b/>
                <w:bCs/>
                <w:sz w:val="18"/>
                <w:szCs w:val="18"/>
              </w:rPr>
              <w:t>195</w:t>
            </w:r>
            <w:r w:rsidR="00672C90">
              <w:rPr>
                <w:rFonts w:ascii="Arial" w:hAnsi="Arial" w:cs="Arial"/>
                <w:b/>
                <w:bCs/>
                <w:sz w:val="18"/>
                <w:szCs w:val="18"/>
              </w:rPr>
              <w:t>,</w:t>
            </w:r>
            <w:r>
              <w:rPr>
                <w:rFonts w:ascii="Arial" w:hAnsi="Arial" w:cs="Arial"/>
                <w:b/>
                <w:bCs/>
                <w:sz w:val="18"/>
                <w:szCs w:val="18"/>
              </w:rPr>
              <w:t xml:space="preserve">1 </w:t>
            </w:r>
          </w:p>
        </w:tc>
      </w:tr>
      <w:tr w:rsidR="00946673" w:rsidRPr="00946673" w14:paraId="7385EABB" w14:textId="77777777" w:rsidTr="002C23A2">
        <w:trPr>
          <w:trHeight w:val="235"/>
        </w:trPr>
        <w:tc>
          <w:tcPr>
            <w:tcW w:w="4858" w:type="dxa"/>
            <w:vAlign w:val="center"/>
          </w:tcPr>
          <w:p w14:paraId="62B76295" w14:textId="6B1248A0" w:rsidR="00946673" w:rsidRPr="00946673" w:rsidRDefault="00946673" w:rsidP="00946673">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Ταμειακές ροές από επενδυτικές δραστηριότητες</w:t>
            </w:r>
          </w:p>
        </w:tc>
        <w:tc>
          <w:tcPr>
            <w:tcW w:w="1427" w:type="dxa"/>
            <w:vAlign w:val="center"/>
          </w:tcPr>
          <w:p w14:paraId="304DCD5D"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429" w:type="dxa"/>
            <w:vAlign w:val="center"/>
          </w:tcPr>
          <w:p w14:paraId="33CC3D75"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vAlign w:val="center"/>
          </w:tcPr>
          <w:p w14:paraId="3D5E6EB9"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vAlign w:val="center"/>
          </w:tcPr>
          <w:p w14:paraId="6ACA720A"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r>
      <w:tr w:rsidR="00B81CA2" w:rsidRPr="00946673" w14:paraId="5BC6E3AC" w14:textId="77777777" w:rsidTr="002C23A2">
        <w:trPr>
          <w:trHeight w:val="235"/>
        </w:trPr>
        <w:tc>
          <w:tcPr>
            <w:tcW w:w="4858" w:type="dxa"/>
            <w:tcBorders>
              <w:right w:val="single" w:sz="2" w:space="0" w:color="808080" w:themeColor="background1" w:themeShade="80"/>
            </w:tcBorders>
            <w:shd w:val="clear" w:color="auto" w:fill="auto"/>
            <w:vAlign w:val="center"/>
          </w:tcPr>
          <w:p w14:paraId="13F4F68E" w14:textId="69D8BC76" w:rsidR="00B81CA2" w:rsidRPr="004E0AAD" w:rsidRDefault="00B81CA2" w:rsidP="00946673">
            <w:pPr>
              <w:pStyle w:val="ColorfulList-Accent11"/>
              <w:tabs>
                <w:tab w:val="left" w:pos="0"/>
                <w:tab w:val="left" w:pos="284"/>
              </w:tabs>
              <w:ind w:left="0" w:right="-90"/>
              <w:rPr>
                <w:rFonts w:ascii="Arial" w:hAnsi="Arial" w:cs="Arial"/>
                <w:b/>
                <w:bCs/>
                <w:sz w:val="18"/>
                <w:szCs w:val="18"/>
                <w:lang w:val="el-GR"/>
              </w:rPr>
            </w:pPr>
            <w:r w:rsidRPr="00284899">
              <w:rPr>
                <w:rFonts w:ascii="Arial" w:hAnsi="Arial" w:cs="Arial"/>
                <w:sz w:val="18"/>
                <w:szCs w:val="18"/>
                <w:lang w:val="el-GR"/>
              </w:rPr>
              <w:t>Πώληση ή λήξη χρηματοοικονομικών περιουσιακών στοιχείων</w:t>
            </w:r>
          </w:p>
        </w:tc>
        <w:tc>
          <w:tcPr>
            <w:tcW w:w="1427" w:type="dxa"/>
            <w:tcBorders>
              <w:left w:val="single" w:sz="2" w:space="0" w:color="808080" w:themeColor="background1" w:themeShade="80"/>
            </w:tcBorders>
            <w:shd w:val="clear" w:color="auto" w:fill="auto"/>
            <w:vAlign w:val="center"/>
          </w:tcPr>
          <w:p w14:paraId="37A36FFE" w14:textId="4CB33547"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w:t>
            </w:r>
          </w:p>
        </w:tc>
        <w:tc>
          <w:tcPr>
            <w:tcW w:w="1429" w:type="dxa"/>
            <w:tcBorders>
              <w:right w:val="single" w:sz="2" w:space="0" w:color="808080" w:themeColor="background1" w:themeShade="80"/>
            </w:tcBorders>
            <w:shd w:val="clear" w:color="auto" w:fill="auto"/>
            <w:vAlign w:val="center"/>
          </w:tcPr>
          <w:p w14:paraId="140C24EA" w14:textId="69EED8C3"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0,1</w:t>
            </w:r>
          </w:p>
        </w:tc>
        <w:tc>
          <w:tcPr>
            <w:tcW w:w="1301" w:type="dxa"/>
            <w:tcBorders>
              <w:left w:val="single" w:sz="2" w:space="0" w:color="808080" w:themeColor="background1" w:themeShade="80"/>
            </w:tcBorders>
            <w:shd w:val="clear" w:color="auto" w:fill="auto"/>
            <w:vAlign w:val="center"/>
          </w:tcPr>
          <w:p w14:paraId="30F0DCFB" w14:textId="740B86DE"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w:t>
            </w:r>
          </w:p>
        </w:tc>
        <w:tc>
          <w:tcPr>
            <w:tcW w:w="1301" w:type="dxa"/>
            <w:shd w:val="clear" w:color="auto" w:fill="auto"/>
            <w:vAlign w:val="center"/>
          </w:tcPr>
          <w:p w14:paraId="235A56F6" w14:textId="5994C67F"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0,1</w:t>
            </w:r>
          </w:p>
        </w:tc>
      </w:tr>
      <w:tr w:rsidR="00946673" w:rsidRPr="00CB2967" w14:paraId="5D5F2A79" w14:textId="77777777" w:rsidTr="00744EE5">
        <w:trPr>
          <w:trHeight w:val="225"/>
        </w:trPr>
        <w:tc>
          <w:tcPr>
            <w:tcW w:w="4858" w:type="dxa"/>
            <w:tcBorders>
              <w:right w:val="single" w:sz="2" w:space="0" w:color="808080" w:themeColor="background1" w:themeShade="80"/>
            </w:tcBorders>
            <w:vAlign w:val="center"/>
          </w:tcPr>
          <w:p w14:paraId="738B06EF" w14:textId="3B5DB6C0" w:rsidR="00946673" w:rsidRPr="00C21D91" w:rsidRDefault="00946673" w:rsidP="00946673">
            <w:pPr>
              <w:pStyle w:val="ColorfulList-Accent11"/>
              <w:tabs>
                <w:tab w:val="left" w:pos="0"/>
                <w:tab w:val="left" w:pos="284"/>
              </w:tabs>
              <w:ind w:left="0" w:right="-90"/>
              <w:rPr>
                <w:rFonts w:ascii="Arial" w:hAnsi="Arial" w:cs="Arial"/>
                <w:sz w:val="17"/>
                <w:szCs w:val="17"/>
              </w:rPr>
            </w:pPr>
            <w:r>
              <w:rPr>
                <w:rFonts w:ascii="Arial" w:hAnsi="Arial" w:cs="Arial"/>
                <w:sz w:val="18"/>
                <w:szCs w:val="18"/>
                <w:lang w:val="el-GR"/>
              </w:rPr>
              <w:t>Αγορά</w:t>
            </w:r>
            <w:r w:rsidRPr="000B4290">
              <w:rPr>
                <w:rFonts w:ascii="Arial" w:hAnsi="Arial" w:cs="Arial"/>
                <w:sz w:val="18"/>
                <w:szCs w:val="18"/>
                <w:lang w:val="el-GR"/>
              </w:rPr>
              <w:t xml:space="preserve"> χρηματοοικονομικών περιουσιακών στοιχείων</w:t>
            </w:r>
          </w:p>
        </w:tc>
        <w:tc>
          <w:tcPr>
            <w:tcW w:w="1427" w:type="dxa"/>
            <w:tcBorders>
              <w:left w:val="single" w:sz="2" w:space="0" w:color="808080" w:themeColor="background1" w:themeShade="80"/>
            </w:tcBorders>
            <w:vAlign w:val="center"/>
          </w:tcPr>
          <w:p w14:paraId="3795FA88"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 </w:t>
            </w:r>
          </w:p>
        </w:tc>
        <w:tc>
          <w:tcPr>
            <w:tcW w:w="1429" w:type="dxa"/>
            <w:tcBorders>
              <w:right w:val="single" w:sz="2" w:space="0" w:color="808080" w:themeColor="background1" w:themeShade="80"/>
            </w:tcBorders>
            <w:vAlign w:val="center"/>
          </w:tcPr>
          <w:p w14:paraId="0FB9090D"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 </w:t>
            </w:r>
          </w:p>
        </w:tc>
        <w:tc>
          <w:tcPr>
            <w:tcW w:w="1301" w:type="dxa"/>
            <w:tcBorders>
              <w:left w:val="single" w:sz="2" w:space="0" w:color="808080" w:themeColor="background1" w:themeShade="80"/>
            </w:tcBorders>
            <w:vAlign w:val="center"/>
          </w:tcPr>
          <w:p w14:paraId="489D02CD" w14:textId="3C3A54A9"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7)</w:t>
            </w:r>
          </w:p>
        </w:tc>
        <w:tc>
          <w:tcPr>
            <w:tcW w:w="1301" w:type="dxa"/>
            <w:vAlign w:val="center"/>
          </w:tcPr>
          <w:p w14:paraId="4A814C76" w14:textId="252AC23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8)</w:t>
            </w:r>
          </w:p>
        </w:tc>
      </w:tr>
      <w:tr w:rsidR="00946673" w:rsidRPr="00CB2967" w14:paraId="597DE3B4" w14:textId="77777777" w:rsidTr="00744EE5">
        <w:trPr>
          <w:trHeight w:val="189"/>
        </w:trPr>
        <w:tc>
          <w:tcPr>
            <w:tcW w:w="4858" w:type="dxa"/>
            <w:tcBorders>
              <w:right w:val="single" w:sz="2" w:space="0" w:color="808080" w:themeColor="background1" w:themeShade="80"/>
            </w:tcBorders>
            <w:vAlign w:val="center"/>
          </w:tcPr>
          <w:p w14:paraId="26ED5B78" w14:textId="7D04A40C" w:rsidR="00946673" w:rsidRPr="00946673" w:rsidRDefault="0035715E" w:rsidP="00946673">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Καθαρές εκροές</w:t>
            </w:r>
            <w:r w:rsidR="00946673" w:rsidRPr="00B458BF">
              <w:rPr>
                <w:rFonts w:ascii="Arial" w:hAnsi="Arial" w:cs="Arial"/>
                <w:sz w:val="18"/>
                <w:szCs w:val="18"/>
                <w:lang w:val="el-GR"/>
              </w:rPr>
              <w:t xml:space="preserve"> σχετιζόμενες με πώληση θυγατρικών / συμμετοχών</w:t>
            </w:r>
          </w:p>
        </w:tc>
        <w:tc>
          <w:tcPr>
            <w:tcW w:w="1427" w:type="dxa"/>
            <w:tcBorders>
              <w:left w:val="single" w:sz="2" w:space="0" w:color="808080" w:themeColor="background1" w:themeShade="80"/>
            </w:tcBorders>
            <w:vAlign w:val="center"/>
          </w:tcPr>
          <w:p w14:paraId="7ADAD991" w14:textId="2A161691"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w:t>
            </w:r>
            <w:r w:rsidR="00672C90">
              <w:rPr>
                <w:rFonts w:ascii="Arial" w:hAnsi="Arial" w:cs="Arial"/>
                <w:sz w:val="18"/>
                <w:szCs w:val="18"/>
              </w:rPr>
              <w:t>,</w:t>
            </w:r>
            <w:r>
              <w:rPr>
                <w:rFonts w:ascii="Arial" w:hAnsi="Arial" w:cs="Arial"/>
                <w:sz w:val="18"/>
                <w:szCs w:val="18"/>
              </w:rPr>
              <w:t>6)</w:t>
            </w:r>
          </w:p>
        </w:tc>
        <w:tc>
          <w:tcPr>
            <w:tcW w:w="1429" w:type="dxa"/>
            <w:tcBorders>
              <w:right w:val="single" w:sz="2" w:space="0" w:color="808080" w:themeColor="background1" w:themeShade="80"/>
            </w:tcBorders>
            <w:vAlign w:val="center"/>
          </w:tcPr>
          <w:p w14:paraId="38D97AC0" w14:textId="5901C8DF"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w:t>
            </w:r>
            <w:r w:rsidR="00672C90">
              <w:rPr>
                <w:rFonts w:ascii="Arial" w:hAnsi="Arial" w:cs="Arial"/>
                <w:sz w:val="18"/>
                <w:szCs w:val="18"/>
              </w:rPr>
              <w:t>,</w:t>
            </w:r>
            <w:r>
              <w:rPr>
                <w:rFonts w:ascii="Arial" w:hAnsi="Arial" w:cs="Arial"/>
                <w:sz w:val="18"/>
                <w:szCs w:val="18"/>
              </w:rPr>
              <w:t>1)</w:t>
            </w:r>
          </w:p>
        </w:tc>
        <w:tc>
          <w:tcPr>
            <w:tcW w:w="1301" w:type="dxa"/>
            <w:tcBorders>
              <w:left w:val="single" w:sz="2" w:space="0" w:color="808080" w:themeColor="background1" w:themeShade="80"/>
            </w:tcBorders>
            <w:vAlign w:val="center"/>
          </w:tcPr>
          <w:p w14:paraId="0A46E0F5" w14:textId="43B4FDC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672C90">
              <w:rPr>
                <w:rFonts w:ascii="Arial" w:hAnsi="Arial" w:cs="Arial"/>
                <w:sz w:val="18"/>
                <w:szCs w:val="18"/>
              </w:rPr>
              <w:t>,</w:t>
            </w:r>
            <w:r>
              <w:rPr>
                <w:rFonts w:ascii="Arial" w:hAnsi="Arial" w:cs="Arial"/>
                <w:sz w:val="18"/>
                <w:szCs w:val="18"/>
              </w:rPr>
              <w:t>8)</w:t>
            </w:r>
          </w:p>
        </w:tc>
        <w:tc>
          <w:tcPr>
            <w:tcW w:w="1301" w:type="dxa"/>
            <w:vAlign w:val="center"/>
          </w:tcPr>
          <w:p w14:paraId="5C30DC3C" w14:textId="6025442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3)</w:t>
            </w:r>
          </w:p>
        </w:tc>
      </w:tr>
      <w:tr w:rsidR="00946673" w:rsidRPr="00CB2967" w14:paraId="666FD56B" w14:textId="77777777" w:rsidTr="00744EE5">
        <w:trPr>
          <w:trHeight w:val="189"/>
        </w:trPr>
        <w:tc>
          <w:tcPr>
            <w:tcW w:w="4858" w:type="dxa"/>
            <w:tcBorders>
              <w:right w:val="single" w:sz="2" w:space="0" w:color="808080" w:themeColor="background1" w:themeShade="80"/>
            </w:tcBorders>
            <w:vAlign w:val="center"/>
          </w:tcPr>
          <w:p w14:paraId="4D955E89" w14:textId="5F4ADEA5"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07365A">
              <w:rPr>
                <w:rFonts w:ascii="Arial" w:hAnsi="Arial" w:cs="Arial"/>
                <w:sz w:val="18"/>
                <w:szCs w:val="18"/>
                <w:lang w:val="el-GR"/>
              </w:rPr>
              <w:t xml:space="preserve">Tαμειακά διαθέσιμα και ταμειακά ισοδύναμα θυγατρικών που πουλήθηκαν </w:t>
            </w:r>
          </w:p>
        </w:tc>
        <w:tc>
          <w:tcPr>
            <w:tcW w:w="1427" w:type="dxa"/>
            <w:tcBorders>
              <w:left w:val="single" w:sz="2" w:space="0" w:color="808080" w:themeColor="background1" w:themeShade="80"/>
            </w:tcBorders>
            <w:vAlign w:val="center"/>
          </w:tcPr>
          <w:p w14:paraId="7658880E"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c>
          <w:tcPr>
            <w:tcW w:w="1429" w:type="dxa"/>
            <w:tcBorders>
              <w:right w:val="single" w:sz="2" w:space="0" w:color="808080" w:themeColor="background1" w:themeShade="80"/>
            </w:tcBorders>
            <w:vAlign w:val="center"/>
          </w:tcPr>
          <w:p w14:paraId="3D687C91"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tcBorders>
              <w:left w:val="single" w:sz="2" w:space="0" w:color="808080" w:themeColor="background1" w:themeShade="80"/>
            </w:tcBorders>
            <w:vAlign w:val="center"/>
          </w:tcPr>
          <w:p w14:paraId="6C7FADB3" w14:textId="746C6461"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672C90">
              <w:rPr>
                <w:rFonts w:ascii="Arial" w:hAnsi="Arial" w:cs="Arial"/>
                <w:sz w:val="18"/>
                <w:szCs w:val="18"/>
              </w:rPr>
              <w:t>,</w:t>
            </w:r>
            <w:r>
              <w:rPr>
                <w:rFonts w:ascii="Arial" w:hAnsi="Arial" w:cs="Arial"/>
                <w:sz w:val="18"/>
                <w:szCs w:val="18"/>
              </w:rPr>
              <w:t>4)</w:t>
            </w:r>
          </w:p>
        </w:tc>
        <w:tc>
          <w:tcPr>
            <w:tcW w:w="1301" w:type="dxa"/>
            <w:vAlign w:val="center"/>
          </w:tcPr>
          <w:p w14:paraId="7937A2DC"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r>
      <w:tr w:rsidR="00946673" w:rsidRPr="00CB2967" w14:paraId="28A8777B" w14:textId="77777777" w:rsidTr="00744EE5">
        <w:trPr>
          <w:trHeight w:val="225"/>
        </w:trPr>
        <w:tc>
          <w:tcPr>
            <w:tcW w:w="4858" w:type="dxa"/>
            <w:tcBorders>
              <w:right w:val="single" w:sz="2" w:space="0" w:color="808080" w:themeColor="background1" w:themeShade="80"/>
            </w:tcBorders>
            <w:vAlign w:val="center"/>
          </w:tcPr>
          <w:p w14:paraId="6B5B61AE" w14:textId="47BB8386" w:rsidR="00946673" w:rsidRPr="00C21D91" w:rsidRDefault="00946673" w:rsidP="00946673">
            <w:pPr>
              <w:pStyle w:val="ColorfulList-Accent11"/>
              <w:tabs>
                <w:tab w:val="left" w:pos="0"/>
                <w:tab w:val="left" w:pos="284"/>
              </w:tabs>
              <w:ind w:left="0" w:right="-90"/>
              <w:rPr>
                <w:rFonts w:ascii="Arial" w:hAnsi="Arial" w:cs="Arial"/>
                <w:sz w:val="17"/>
                <w:szCs w:val="17"/>
              </w:rPr>
            </w:pPr>
            <w:r w:rsidRPr="000B4290">
              <w:rPr>
                <w:rFonts w:ascii="Arial" w:hAnsi="Arial" w:cs="Arial"/>
                <w:sz w:val="18"/>
                <w:szCs w:val="18"/>
              </w:rPr>
              <w:t>Αποπληρωμές εισπρακτέων δανείων</w:t>
            </w:r>
          </w:p>
        </w:tc>
        <w:tc>
          <w:tcPr>
            <w:tcW w:w="1427" w:type="dxa"/>
            <w:tcBorders>
              <w:left w:val="single" w:sz="2" w:space="0" w:color="808080" w:themeColor="background1" w:themeShade="80"/>
            </w:tcBorders>
            <w:vAlign w:val="center"/>
          </w:tcPr>
          <w:p w14:paraId="2BBF3B0F" w14:textId="1186364A"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w:t>
            </w:r>
            <w:r w:rsidR="00672C90">
              <w:rPr>
                <w:rFonts w:ascii="Arial" w:hAnsi="Arial" w:cs="Arial"/>
                <w:sz w:val="18"/>
                <w:szCs w:val="18"/>
              </w:rPr>
              <w:t>,</w:t>
            </w:r>
            <w:r>
              <w:rPr>
                <w:rFonts w:ascii="Arial" w:hAnsi="Arial" w:cs="Arial"/>
                <w:sz w:val="18"/>
                <w:szCs w:val="18"/>
              </w:rPr>
              <w:t xml:space="preserve">2 </w:t>
            </w:r>
          </w:p>
        </w:tc>
        <w:tc>
          <w:tcPr>
            <w:tcW w:w="1429" w:type="dxa"/>
            <w:tcBorders>
              <w:right w:val="single" w:sz="2" w:space="0" w:color="808080" w:themeColor="background1" w:themeShade="80"/>
            </w:tcBorders>
            <w:vAlign w:val="center"/>
          </w:tcPr>
          <w:p w14:paraId="62498930" w14:textId="1DB15AD2"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w:t>
            </w:r>
            <w:r w:rsidR="00672C90">
              <w:rPr>
                <w:rFonts w:ascii="Arial" w:hAnsi="Arial" w:cs="Arial"/>
                <w:sz w:val="18"/>
                <w:szCs w:val="18"/>
              </w:rPr>
              <w:t>,</w:t>
            </w:r>
            <w:r>
              <w:rPr>
                <w:rFonts w:ascii="Arial" w:hAnsi="Arial" w:cs="Arial"/>
                <w:sz w:val="18"/>
                <w:szCs w:val="18"/>
              </w:rPr>
              <w:t xml:space="preserve">8 </w:t>
            </w:r>
          </w:p>
        </w:tc>
        <w:tc>
          <w:tcPr>
            <w:tcW w:w="1301" w:type="dxa"/>
            <w:tcBorders>
              <w:left w:val="single" w:sz="2" w:space="0" w:color="808080" w:themeColor="background1" w:themeShade="80"/>
            </w:tcBorders>
            <w:vAlign w:val="center"/>
          </w:tcPr>
          <w:p w14:paraId="3A20CF01" w14:textId="6EF0325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w:t>
            </w:r>
            <w:r w:rsidR="00672C90">
              <w:rPr>
                <w:rFonts w:ascii="Arial" w:hAnsi="Arial" w:cs="Arial"/>
                <w:sz w:val="18"/>
                <w:szCs w:val="18"/>
              </w:rPr>
              <w:t>,</w:t>
            </w:r>
            <w:r>
              <w:rPr>
                <w:rFonts w:ascii="Arial" w:hAnsi="Arial" w:cs="Arial"/>
                <w:sz w:val="18"/>
                <w:szCs w:val="18"/>
              </w:rPr>
              <w:t xml:space="preserve">2 </w:t>
            </w:r>
          </w:p>
        </w:tc>
        <w:tc>
          <w:tcPr>
            <w:tcW w:w="1301" w:type="dxa"/>
            <w:vAlign w:val="center"/>
          </w:tcPr>
          <w:p w14:paraId="17B227AB" w14:textId="3B11DC44"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w:t>
            </w:r>
            <w:r w:rsidR="00672C90">
              <w:rPr>
                <w:rFonts w:ascii="Arial" w:hAnsi="Arial" w:cs="Arial"/>
                <w:sz w:val="18"/>
                <w:szCs w:val="18"/>
              </w:rPr>
              <w:t>,</w:t>
            </w:r>
            <w:r>
              <w:rPr>
                <w:rFonts w:ascii="Arial" w:hAnsi="Arial" w:cs="Arial"/>
                <w:sz w:val="18"/>
                <w:szCs w:val="18"/>
              </w:rPr>
              <w:t xml:space="preserve">2 </w:t>
            </w:r>
          </w:p>
        </w:tc>
      </w:tr>
      <w:tr w:rsidR="00946673" w:rsidRPr="00CB2967" w14:paraId="0FED6684" w14:textId="77777777" w:rsidTr="00744EE5">
        <w:trPr>
          <w:trHeight w:val="179"/>
        </w:trPr>
        <w:tc>
          <w:tcPr>
            <w:tcW w:w="4858" w:type="dxa"/>
            <w:tcBorders>
              <w:right w:val="single" w:sz="2" w:space="0" w:color="808080" w:themeColor="background1" w:themeShade="80"/>
            </w:tcBorders>
            <w:vAlign w:val="center"/>
          </w:tcPr>
          <w:p w14:paraId="61FC718A" w14:textId="57BDF81A" w:rsidR="00946673" w:rsidRPr="00946673" w:rsidRDefault="00946673" w:rsidP="00946673">
            <w:pPr>
              <w:pStyle w:val="ColorfulList-Accent11"/>
              <w:tabs>
                <w:tab w:val="left" w:pos="0"/>
                <w:tab w:val="left" w:pos="284"/>
              </w:tabs>
              <w:ind w:left="0" w:right="-90"/>
              <w:rPr>
                <w:rFonts w:ascii="Arial" w:hAnsi="Arial" w:cs="Arial"/>
                <w:b/>
                <w:sz w:val="17"/>
                <w:szCs w:val="17"/>
                <w:lang w:val="el-GR"/>
              </w:rPr>
            </w:pPr>
            <w:r w:rsidRPr="000B4290">
              <w:rPr>
                <w:rFonts w:ascii="Arial" w:hAnsi="Arial" w:cs="Arial"/>
                <w:sz w:val="18"/>
                <w:szCs w:val="18"/>
                <w:lang w:val="el-GR"/>
              </w:rPr>
              <w:t>Αγορά ενσώματων και άυλων παγίων περιουσιακών στοιχείων</w:t>
            </w:r>
          </w:p>
        </w:tc>
        <w:tc>
          <w:tcPr>
            <w:tcW w:w="1427" w:type="dxa"/>
            <w:tcBorders>
              <w:left w:val="single" w:sz="2" w:space="0" w:color="808080" w:themeColor="background1" w:themeShade="80"/>
            </w:tcBorders>
            <w:vAlign w:val="center"/>
          </w:tcPr>
          <w:p w14:paraId="2C9C9C64" w14:textId="0F7FC5ED"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(166</w:t>
            </w:r>
            <w:r w:rsidR="00672C90">
              <w:rPr>
                <w:rFonts w:ascii="Arial" w:hAnsi="Arial" w:cs="Arial"/>
                <w:sz w:val="18"/>
                <w:szCs w:val="18"/>
              </w:rPr>
              <w:t>,</w:t>
            </w:r>
            <w:r>
              <w:rPr>
                <w:rFonts w:ascii="Arial" w:hAnsi="Arial" w:cs="Arial"/>
                <w:sz w:val="18"/>
                <w:szCs w:val="18"/>
              </w:rPr>
              <w:t>7)</w:t>
            </w:r>
          </w:p>
        </w:tc>
        <w:tc>
          <w:tcPr>
            <w:tcW w:w="1429" w:type="dxa"/>
            <w:tcBorders>
              <w:right w:val="single" w:sz="2" w:space="0" w:color="808080" w:themeColor="background1" w:themeShade="80"/>
            </w:tcBorders>
            <w:vAlign w:val="center"/>
          </w:tcPr>
          <w:p w14:paraId="0F287954" w14:textId="1EB8DF65"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(191</w:t>
            </w:r>
            <w:r w:rsidR="00672C90">
              <w:rPr>
                <w:rFonts w:ascii="Arial" w:hAnsi="Arial" w:cs="Arial"/>
                <w:sz w:val="18"/>
                <w:szCs w:val="18"/>
              </w:rPr>
              <w:t>,</w:t>
            </w:r>
            <w:r>
              <w:rPr>
                <w:rFonts w:ascii="Arial" w:hAnsi="Arial" w:cs="Arial"/>
                <w:sz w:val="18"/>
                <w:szCs w:val="18"/>
              </w:rPr>
              <w:t>5)</w:t>
            </w:r>
          </w:p>
        </w:tc>
        <w:tc>
          <w:tcPr>
            <w:tcW w:w="1301" w:type="dxa"/>
            <w:tcBorders>
              <w:left w:val="single" w:sz="2" w:space="0" w:color="808080" w:themeColor="background1" w:themeShade="80"/>
            </w:tcBorders>
            <w:vAlign w:val="center"/>
          </w:tcPr>
          <w:p w14:paraId="1EC34C8E" w14:textId="1625111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(599</w:t>
            </w:r>
            <w:r w:rsidR="00672C90">
              <w:rPr>
                <w:rFonts w:ascii="Arial" w:hAnsi="Arial" w:cs="Arial"/>
                <w:sz w:val="18"/>
                <w:szCs w:val="18"/>
              </w:rPr>
              <w:t>,</w:t>
            </w:r>
            <w:r>
              <w:rPr>
                <w:rFonts w:ascii="Arial" w:hAnsi="Arial" w:cs="Arial"/>
                <w:sz w:val="18"/>
                <w:szCs w:val="18"/>
              </w:rPr>
              <w:t>7)</w:t>
            </w:r>
          </w:p>
        </w:tc>
        <w:tc>
          <w:tcPr>
            <w:tcW w:w="1301" w:type="dxa"/>
            <w:vAlign w:val="center"/>
          </w:tcPr>
          <w:p w14:paraId="455CB08A" w14:textId="6474FEE0"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(621</w:t>
            </w:r>
            <w:r w:rsidR="00672C90">
              <w:rPr>
                <w:rFonts w:ascii="Arial" w:hAnsi="Arial" w:cs="Arial"/>
                <w:sz w:val="18"/>
                <w:szCs w:val="18"/>
              </w:rPr>
              <w:t>,</w:t>
            </w:r>
            <w:r>
              <w:rPr>
                <w:rFonts w:ascii="Arial" w:hAnsi="Arial" w:cs="Arial"/>
                <w:sz w:val="18"/>
                <w:szCs w:val="18"/>
              </w:rPr>
              <w:t>4)</w:t>
            </w:r>
          </w:p>
        </w:tc>
      </w:tr>
      <w:tr w:rsidR="00946673" w:rsidRPr="00CB2967" w14:paraId="65F82BA5"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vAlign w:val="center"/>
          </w:tcPr>
          <w:p w14:paraId="21829B44" w14:textId="7FE91D3B" w:rsidR="00946673" w:rsidRPr="00C21D91" w:rsidRDefault="007757FA" w:rsidP="00946673">
            <w:pPr>
              <w:pStyle w:val="ColorfulList-Accent11"/>
              <w:tabs>
                <w:tab w:val="left" w:pos="0"/>
                <w:tab w:val="left" w:pos="284"/>
              </w:tabs>
              <w:ind w:left="0" w:right="-90"/>
              <w:rPr>
                <w:rFonts w:ascii="Arial" w:hAnsi="Arial" w:cs="Arial"/>
                <w:sz w:val="17"/>
                <w:szCs w:val="17"/>
              </w:rPr>
            </w:pPr>
            <w:r w:rsidRPr="004230FE">
              <w:rPr>
                <w:rFonts w:ascii="Arial" w:hAnsi="Arial" w:cs="Arial"/>
                <w:sz w:val="18"/>
                <w:szCs w:val="18"/>
              </w:rPr>
              <w:t>Πιστωτικοί τόκοι εισπραχθέντες</w:t>
            </w:r>
          </w:p>
        </w:tc>
        <w:tc>
          <w:tcPr>
            <w:tcW w:w="1427" w:type="dxa"/>
            <w:tcBorders>
              <w:left w:val="single" w:sz="2" w:space="0" w:color="808080" w:themeColor="background1" w:themeShade="80"/>
              <w:bottom w:val="single" w:sz="2" w:space="0" w:color="808080" w:themeColor="background1" w:themeShade="80"/>
            </w:tcBorders>
            <w:vAlign w:val="center"/>
          </w:tcPr>
          <w:p w14:paraId="2A8B33DB" w14:textId="24E9C6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3</w:t>
            </w:r>
            <w:r w:rsidR="00672C90">
              <w:rPr>
                <w:rFonts w:ascii="Arial" w:hAnsi="Arial" w:cs="Arial"/>
                <w:sz w:val="18"/>
                <w:szCs w:val="18"/>
              </w:rPr>
              <w:t>,</w:t>
            </w:r>
            <w:r>
              <w:rPr>
                <w:rFonts w:ascii="Arial" w:hAnsi="Arial" w:cs="Arial"/>
                <w:sz w:val="18"/>
                <w:szCs w:val="18"/>
              </w:rPr>
              <w:t xml:space="preserve">5 </w:t>
            </w:r>
          </w:p>
        </w:tc>
        <w:tc>
          <w:tcPr>
            <w:tcW w:w="1429" w:type="dxa"/>
            <w:tcBorders>
              <w:bottom w:val="single" w:sz="2" w:space="0" w:color="808080" w:themeColor="background1" w:themeShade="80"/>
              <w:right w:val="single" w:sz="2" w:space="0" w:color="808080" w:themeColor="background1" w:themeShade="80"/>
            </w:tcBorders>
            <w:vAlign w:val="center"/>
          </w:tcPr>
          <w:p w14:paraId="39511C38" w14:textId="4FCCCE81"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3</w:t>
            </w:r>
            <w:r w:rsidR="00672C90">
              <w:rPr>
                <w:rFonts w:ascii="Arial" w:hAnsi="Arial" w:cs="Arial"/>
                <w:sz w:val="18"/>
                <w:szCs w:val="18"/>
              </w:rPr>
              <w:t>,</w:t>
            </w:r>
            <w:r>
              <w:rPr>
                <w:rFonts w:ascii="Arial" w:hAnsi="Arial" w:cs="Arial"/>
                <w:sz w:val="18"/>
                <w:szCs w:val="18"/>
              </w:rPr>
              <w:t xml:space="preserve">2 </w:t>
            </w:r>
          </w:p>
        </w:tc>
        <w:tc>
          <w:tcPr>
            <w:tcW w:w="1301" w:type="dxa"/>
            <w:tcBorders>
              <w:left w:val="single" w:sz="2" w:space="0" w:color="808080" w:themeColor="background1" w:themeShade="80"/>
              <w:bottom w:val="single" w:sz="2" w:space="0" w:color="808080" w:themeColor="background1" w:themeShade="80"/>
            </w:tcBorders>
            <w:vAlign w:val="center"/>
          </w:tcPr>
          <w:p w14:paraId="77B46B01" w14:textId="4AEC3AE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13</w:t>
            </w:r>
            <w:r w:rsidR="00672C90">
              <w:rPr>
                <w:rFonts w:ascii="Arial" w:hAnsi="Arial" w:cs="Arial"/>
                <w:sz w:val="18"/>
                <w:szCs w:val="18"/>
              </w:rPr>
              <w:t>,</w:t>
            </w:r>
            <w:r>
              <w:rPr>
                <w:rFonts w:ascii="Arial" w:hAnsi="Arial" w:cs="Arial"/>
                <w:sz w:val="18"/>
                <w:szCs w:val="18"/>
              </w:rPr>
              <w:t xml:space="preserve">3 </w:t>
            </w:r>
          </w:p>
        </w:tc>
        <w:tc>
          <w:tcPr>
            <w:tcW w:w="1301" w:type="dxa"/>
            <w:tcBorders>
              <w:bottom w:val="single" w:sz="2" w:space="0" w:color="808080" w:themeColor="background1" w:themeShade="80"/>
            </w:tcBorders>
            <w:vAlign w:val="center"/>
          </w:tcPr>
          <w:p w14:paraId="5F79FD52" w14:textId="274CB959"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672C90">
              <w:rPr>
                <w:rFonts w:ascii="Arial" w:hAnsi="Arial" w:cs="Arial"/>
                <w:sz w:val="18"/>
                <w:szCs w:val="18"/>
              </w:rPr>
              <w:t>,</w:t>
            </w:r>
            <w:r>
              <w:rPr>
                <w:rFonts w:ascii="Arial" w:hAnsi="Arial" w:cs="Arial"/>
                <w:sz w:val="18"/>
                <w:szCs w:val="18"/>
              </w:rPr>
              <w:t xml:space="preserve">4 </w:t>
            </w:r>
          </w:p>
        </w:tc>
      </w:tr>
      <w:tr w:rsidR="00946673" w:rsidRPr="00CB2967" w14:paraId="04158E03" w14:textId="77777777" w:rsidTr="00744EE5">
        <w:trPr>
          <w:trHeight w:val="380"/>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CAF589E" w14:textId="0CA767AF" w:rsidR="00946673" w:rsidRPr="006731D5" w:rsidRDefault="006731D5" w:rsidP="00946673">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Καθαρές ταμειακές ροές από επενδυτικές δραστηριότητες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DE79304" w14:textId="5A8C7D0E"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(162</w:t>
            </w:r>
            <w:r w:rsidR="00672C90">
              <w:rPr>
                <w:rFonts w:ascii="Arial" w:hAnsi="Arial" w:cs="Arial"/>
                <w:b/>
                <w:bCs/>
                <w:sz w:val="18"/>
                <w:szCs w:val="18"/>
              </w:rPr>
              <w:t>,</w:t>
            </w:r>
            <w:r>
              <w:rPr>
                <w:rFonts w:ascii="Arial" w:hAnsi="Arial" w:cs="Arial"/>
                <w:b/>
                <w:bCs/>
                <w:sz w:val="18"/>
                <w:szCs w:val="18"/>
              </w:rPr>
              <w:t>6)</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FFF6C3" w14:textId="3E5D3F86"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(186</w:t>
            </w:r>
            <w:r w:rsidR="00672C90">
              <w:rPr>
                <w:rFonts w:ascii="Arial" w:hAnsi="Arial" w:cs="Arial"/>
                <w:b/>
                <w:bCs/>
                <w:sz w:val="18"/>
                <w:szCs w:val="18"/>
              </w:rPr>
              <w:t>,</w:t>
            </w:r>
            <w:r>
              <w:rPr>
                <w:rFonts w:ascii="Arial" w:hAnsi="Arial" w:cs="Arial"/>
                <w:b/>
                <w:bCs/>
                <w:sz w:val="18"/>
                <w:szCs w:val="18"/>
              </w:rPr>
              <w:t>5)</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AA8FD9" w14:textId="296F69A1"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(584</w:t>
            </w:r>
            <w:r w:rsidR="00672C90">
              <w:rPr>
                <w:rFonts w:ascii="Arial" w:hAnsi="Arial" w:cs="Arial"/>
                <w:b/>
                <w:bCs/>
                <w:sz w:val="18"/>
                <w:szCs w:val="18"/>
              </w:rPr>
              <w:t>,</w:t>
            </w:r>
            <w:r>
              <w:rPr>
                <w:rFonts w:ascii="Arial" w:hAnsi="Arial" w:cs="Arial"/>
                <w:b/>
                <w:bCs/>
                <w:sz w:val="18"/>
                <w:szCs w:val="18"/>
              </w:rPr>
              <w:t>1)</w:t>
            </w:r>
          </w:p>
        </w:tc>
        <w:tc>
          <w:tcPr>
            <w:tcW w:w="1301"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5D5F15" w14:textId="10026079"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(604</w:t>
            </w:r>
            <w:r w:rsidR="00672C90">
              <w:rPr>
                <w:rFonts w:ascii="Arial" w:hAnsi="Arial" w:cs="Arial"/>
                <w:b/>
                <w:bCs/>
                <w:sz w:val="18"/>
                <w:szCs w:val="18"/>
              </w:rPr>
              <w:t>,</w:t>
            </w:r>
            <w:r>
              <w:rPr>
                <w:rFonts w:ascii="Arial" w:hAnsi="Arial" w:cs="Arial"/>
                <w:b/>
                <w:bCs/>
                <w:sz w:val="18"/>
                <w:szCs w:val="18"/>
              </w:rPr>
              <w:t>8)</w:t>
            </w:r>
          </w:p>
        </w:tc>
      </w:tr>
      <w:tr w:rsidR="00946673" w:rsidRPr="00946673" w14:paraId="09981116" w14:textId="77777777" w:rsidTr="005F37D9">
        <w:trPr>
          <w:trHeight w:val="235"/>
        </w:trPr>
        <w:tc>
          <w:tcPr>
            <w:tcW w:w="4858" w:type="dxa"/>
            <w:tcBorders>
              <w:right w:val="single" w:sz="2" w:space="0" w:color="808080" w:themeColor="background1" w:themeShade="80"/>
            </w:tcBorders>
            <w:shd w:val="clear" w:color="auto" w:fill="FFFFFF" w:themeFill="background1"/>
          </w:tcPr>
          <w:p w14:paraId="74FD8FCF" w14:textId="47C9640D" w:rsidR="00946673" w:rsidRPr="00946673" w:rsidRDefault="00946673" w:rsidP="005F37D9">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Ταμειακές ροές από χρηματοδοτικές δραστηριότητες</w:t>
            </w:r>
          </w:p>
        </w:tc>
        <w:tc>
          <w:tcPr>
            <w:tcW w:w="1427" w:type="dxa"/>
            <w:tcBorders>
              <w:left w:val="single" w:sz="2" w:space="0" w:color="808080" w:themeColor="background1" w:themeShade="80"/>
            </w:tcBorders>
            <w:shd w:val="clear" w:color="auto" w:fill="FFFFFF" w:themeFill="background1"/>
            <w:vAlign w:val="center"/>
          </w:tcPr>
          <w:p w14:paraId="3E82FD7F"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c>
          <w:tcPr>
            <w:tcW w:w="1429" w:type="dxa"/>
            <w:tcBorders>
              <w:right w:val="single" w:sz="2" w:space="0" w:color="808080" w:themeColor="background1" w:themeShade="80"/>
            </w:tcBorders>
            <w:shd w:val="clear" w:color="auto" w:fill="FFFFFF" w:themeFill="background1"/>
            <w:vAlign w:val="center"/>
          </w:tcPr>
          <w:p w14:paraId="4243D05F"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c>
          <w:tcPr>
            <w:tcW w:w="1301" w:type="dxa"/>
            <w:tcBorders>
              <w:left w:val="single" w:sz="2" w:space="0" w:color="808080" w:themeColor="background1" w:themeShade="80"/>
            </w:tcBorders>
            <w:shd w:val="clear" w:color="auto" w:fill="FFFFFF" w:themeFill="background1"/>
            <w:vAlign w:val="center"/>
          </w:tcPr>
          <w:p w14:paraId="3E9DA12E"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c>
          <w:tcPr>
            <w:tcW w:w="1301" w:type="dxa"/>
            <w:shd w:val="clear" w:color="auto" w:fill="FFFFFF" w:themeFill="background1"/>
            <w:vAlign w:val="center"/>
          </w:tcPr>
          <w:p w14:paraId="403D454A"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r>
      <w:tr w:rsidR="001C73D2" w:rsidRPr="00CB2967" w14:paraId="7DCC79FA"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29D42D5E" w14:textId="4EC12977" w:rsidR="001C73D2" w:rsidRPr="00946673" w:rsidRDefault="001C73D2" w:rsidP="001C73D2">
            <w:pPr>
              <w:pStyle w:val="ColorfulList-Accent11"/>
              <w:tabs>
                <w:tab w:val="left" w:pos="0"/>
                <w:tab w:val="left" w:pos="284"/>
              </w:tabs>
              <w:ind w:left="0" w:right="-90"/>
              <w:rPr>
                <w:rFonts w:ascii="Arial" w:hAnsi="Arial" w:cs="Arial"/>
                <w:i/>
                <w:sz w:val="17"/>
                <w:szCs w:val="17"/>
                <w:lang w:val="el-GR"/>
              </w:rPr>
            </w:pPr>
            <w:r w:rsidRPr="00537848">
              <w:rPr>
                <w:rFonts w:ascii="Arial" w:hAnsi="Arial" w:cs="Arial"/>
                <w:sz w:val="18"/>
                <w:szCs w:val="18"/>
              </w:rPr>
              <w:t>Απόκτηση ιδίων μετοχών</w:t>
            </w:r>
          </w:p>
        </w:tc>
        <w:tc>
          <w:tcPr>
            <w:tcW w:w="1427" w:type="dxa"/>
            <w:tcBorders>
              <w:left w:val="single" w:sz="2" w:space="0" w:color="808080" w:themeColor="background1" w:themeShade="80"/>
            </w:tcBorders>
            <w:shd w:val="clear" w:color="auto" w:fill="FFFFFF" w:themeFill="background1"/>
            <w:vAlign w:val="center"/>
          </w:tcPr>
          <w:p w14:paraId="4BDD47B7" w14:textId="7D1664B3"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(57,0)</w:t>
            </w:r>
          </w:p>
        </w:tc>
        <w:tc>
          <w:tcPr>
            <w:tcW w:w="1429" w:type="dxa"/>
            <w:tcBorders>
              <w:right w:val="single" w:sz="2" w:space="0" w:color="808080" w:themeColor="background1" w:themeShade="80"/>
            </w:tcBorders>
            <w:shd w:val="clear" w:color="auto" w:fill="FFFFFF" w:themeFill="background1"/>
            <w:vAlign w:val="center"/>
          </w:tcPr>
          <w:p w14:paraId="031505C9" w14:textId="3922F864"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(48,0)</w:t>
            </w:r>
          </w:p>
        </w:tc>
        <w:tc>
          <w:tcPr>
            <w:tcW w:w="1301" w:type="dxa"/>
            <w:tcBorders>
              <w:left w:val="single" w:sz="2" w:space="0" w:color="808080" w:themeColor="background1" w:themeShade="80"/>
            </w:tcBorders>
            <w:shd w:val="clear" w:color="auto" w:fill="FFFFFF" w:themeFill="background1"/>
            <w:vAlign w:val="center"/>
          </w:tcPr>
          <w:p w14:paraId="588B9C60" w14:textId="4CEDC8DE"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(150,6)</w:t>
            </w:r>
          </w:p>
        </w:tc>
        <w:tc>
          <w:tcPr>
            <w:tcW w:w="1301" w:type="dxa"/>
            <w:shd w:val="clear" w:color="auto" w:fill="FFFFFF" w:themeFill="background1"/>
            <w:vAlign w:val="center"/>
          </w:tcPr>
          <w:p w14:paraId="7EFAFD18" w14:textId="00AB4432"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(177,0)</w:t>
            </w:r>
          </w:p>
        </w:tc>
      </w:tr>
      <w:tr w:rsidR="001C73D2" w:rsidRPr="00CB2967" w14:paraId="06670233"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28705A31" w14:textId="4C85DD6A" w:rsidR="001C73D2" w:rsidRPr="00DB2573" w:rsidRDefault="00DB2573" w:rsidP="00DB2573">
            <w:pPr>
              <w:pStyle w:val="Default"/>
              <w:rPr>
                <w:sz w:val="18"/>
                <w:szCs w:val="18"/>
                <w:lang w:val="el-GR"/>
              </w:rPr>
            </w:pPr>
            <w:r w:rsidRPr="00C64ABC">
              <w:rPr>
                <w:sz w:val="18"/>
                <w:szCs w:val="18"/>
                <w:lang w:val="el-GR"/>
              </w:rPr>
              <w:t>Έξοδα αύξησης μετοχικού κεφαλαίου θυγατρικής</w:t>
            </w:r>
          </w:p>
        </w:tc>
        <w:tc>
          <w:tcPr>
            <w:tcW w:w="1427" w:type="dxa"/>
            <w:tcBorders>
              <w:left w:val="single" w:sz="2" w:space="0" w:color="808080" w:themeColor="background1" w:themeShade="80"/>
            </w:tcBorders>
            <w:shd w:val="clear" w:color="auto" w:fill="FFFFFF" w:themeFill="background1"/>
            <w:vAlign w:val="center"/>
          </w:tcPr>
          <w:p w14:paraId="7940D2B4" w14:textId="77777777"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429" w:type="dxa"/>
            <w:tcBorders>
              <w:right w:val="single" w:sz="2" w:space="0" w:color="808080" w:themeColor="background1" w:themeShade="80"/>
            </w:tcBorders>
            <w:shd w:val="clear" w:color="auto" w:fill="FFFFFF" w:themeFill="background1"/>
            <w:vAlign w:val="center"/>
          </w:tcPr>
          <w:p w14:paraId="46E0397A" w14:textId="244837EF"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(0,1)</w:t>
            </w:r>
          </w:p>
        </w:tc>
        <w:tc>
          <w:tcPr>
            <w:tcW w:w="1301" w:type="dxa"/>
            <w:tcBorders>
              <w:left w:val="single" w:sz="2" w:space="0" w:color="808080" w:themeColor="background1" w:themeShade="80"/>
            </w:tcBorders>
            <w:shd w:val="clear" w:color="auto" w:fill="FFFFFF" w:themeFill="background1"/>
            <w:vAlign w:val="center"/>
          </w:tcPr>
          <w:p w14:paraId="2309E15A" w14:textId="77777777"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shd w:val="clear" w:color="auto" w:fill="FFFFFF" w:themeFill="background1"/>
            <w:vAlign w:val="center"/>
          </w:tcPr>
          <w:p w14:paraId="4D16FFFA" w14:textId="098C9162"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(0,1)</w:t>
            </w:r>
          </w:p>
        </w:tc>
      </w:tr>
      <w:tr w:rsidR="001C73D2" w:rsidRPr="00CB2967" w14:paraId="7A60C1B6"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38CC12FA" w14:textId="114ECBCB" w:rsidR="001C73D2" w:rsidRPr="00AE255B" w:rsidRDefault="001C73D2" w:rsidP="001C73D2">
            <w:pPr>
              <w:pStyle w:val="ColorfulList-Accent11"/>
              <w:tabs>
                <w:tab w:val="left" w:pos="0"/>
                <w:tab w:val="left" w:pos="284"/>
              </w:tabs>
              <w:ind w:left="0" w:right="-90"/>
              <w:rPr>
                <w:rFonts w:ascii="Arial" w:hAnsi="Arial" w:cs="Arial"/>
                <w:color w:val="000000" w:themeColor="text1"/>
                <w:sz w:val="18"/>
                <w:szCs w:val="18"/>
              </w:rPr>
            </w:pPr>
            <w:r w:rsidRPr="00AE255B">
              <w:rPr>
                <w:rFonts w:ascii="Arial" w:hAnsi="Arial" w:cs="Arial"/>
                <w:color w:val="000000" w:themeColor="text1"/>
                <w:sz w:val="18"/>
                <w:szCs w:val="18"/>
                <w:lang w:val="el-GR"/>
              </w:rPr>
              <w:t>Εισπράξεις από δάνεια</w:t>
            </w:r>
          </w:p>
        </w:tc>
        <w:tc>
          <w:tcPr>
            <w:tcW w:w="1427" w:type="dxa"/>
            <w:tcBorders>
              <w:left w:val="single" w:sz="2" w:space="0" w:color="808080" w:themeColor="background1" w:themeShade="80"/>
            </w:tcBorders>
            <w:shd w:val="clear" w:color="auto" w:fill="FFFFFF" w:themeFill="background1"/>
            <w:vAlign w:val="center"/>
          </w:tcPr>
          <w:p w14:paraId="0800E05C" w14:textId="77777777" w:rsidR="001C73D2" w:rsidRPr="00C21D91" w:rsidRDefault="001C73D2" w:rsidP="001C73D2">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 xml:space="preserve">- </w:t>
            </w:r>
          </w:p>
        </w:tc>
        <w:tc>
          <w:tcPr>
            <w:tcW w:w="1429" w:type="dxa"/>
            <w:tcBorders>
              <w:right w:val="single" w:sz="2" w:space="0" w:color="808080" w:themeColor="background1" w:themeShade="80"/>
            </w:tcBorders>
            <w:shd w:val="clear" w:color="auto" w:fill="FFFFFF" w:themeFill="background1"/>
            <w:vAlign w:val="center"/>
          </w:tcPr>
          <w:p w14:paraId="24ABCD3D" w14:textId="7777777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tcBorders>
              <w:left w:val="single" w:sz="2" w:space="0" w:color="808080" w:themeColor="background1" w:themeShade="80"/>
            </w:tcBorders>
            <w:shd w:val="clear" w:color="auto" w:fill="FFFFFF" w:themeFill="background1"/>
            <w:vAlign w:val="center"/>
          </w:tcPr>
          <w:p w14:paraId="6DED7041" w14:textId="7C5E9292"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40,0 </w:t>
            </w:r>
          </w:p>
        </w:tc>
        <w:tc>
          <w:tcPr>
            <w:tcW w:w="1301" w:type="dxa"/>
            <w:shd w:val="clear" w:color="auto" w:fill="FFFFFF" w:themeFill="background1"/>
            <w:vAlign w:val="center"/>
          </w:tcPr>
          <w:p w14:paraId="48F85850" w14:textId="098BC2C6"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80,0 </w:t>
            </w:r>
          </w:p>
        </w:tc>
      </w:tr>
      <w:tr w:rsidR="001C73D2" w:rsidRPr="00CB2967" w14:paraId="39F91A53" w14:textId="77777777" w:rsidTr="00744EE5">
        <w:trPr>
          <w:trHeight w:val="225"/>
        </w:trPr>
        <w:tc>
          <w:tcPr>
            <w:tcW w:w="4858" w:type="dxa"/>
            <w:tcBorders>
              <w:right w:val="single" w:sz="2" w:space="0" w:color="808080" w:themeColor="background1" w:themeShade="80"/>
            </w:tcBorders>
            <w:shd w:val="clear" w:color="auto" w:fill="FFFFFF" w:themeFill="background1"/>
            <w:vAlign w:val="center"/>
          </w:tcPr>
          <w:p w14:paraId="6CF45C59" w14:textId="178928B8" w:rsidR="001C73D2" w:rsidRPr="00AE255B" w:rsidRDefault="001C73D2" w:rsidP="001C73D2">
            <w:pPr>
              <w:pStyle w:val="ColorfulList-Accent11"/>
              <w:tabs>
                <w:tab w:val="left" w:pos="0"/>
                <w:tab w:val="left" w:pos="284"/>
              </w:tabs>
              <w:ind w:left="0" w:right="-90"/>
              <w:rPr>
                <w:rFonts w:ascii="Arial" w:hAnsi="Arial" w:cs="Arial"/>
                <w:i/>
                <w:color w:val="000000" w:themeColor="text1"/>
                <w:sz w:val="17"/>
                <w:szCs w:val="17"/>
              </w:rPr>
            </w:pPr>
            <w:r w:rsidRPr="00AE255B">
              <w:rPr>
                <w:rFonts w:ascii="Arial" w:hAnsi="Arial" w:cs="Arial"/>
                <w:color w:val="000000" w:themeColor="text1"/>
                <w:sz w:val="18"/>
                <w:szCs w:val="18"/>
                <w:lang w:val="el-GR"/>
              </w:rPr>
              <w:t>Εξοφλήσεις δανείων</w:t>
            </w:r>
          </w:p>
        </w:tc>
        <w:tc>
          <w:tcPr>
            <w:tcW w:w="1427" w:type="dxa"/>
            <w:tcBorders>
              <w:left w:val="single" w:sz="2" w:space="0" w:color="808080" w:themeColor="background1" w:themeShade="80"/>
            </w:tcBorders>
            <w:shd w:val="clear" w:color="auto" w:fill="FFFFFF" w:themeFill="background1"/>
            <w:vAlign w:val="center"/>
          </w:tcPr>
          <w:p w14:paraId="7587BEA3" w14:textId="30DD81F1"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(40,0)</w:t>
            </w:r>
          </w:p>
        </w:tc>
        <w:tc>
          <w:tcPr>
            <w:tcW w:w="1429" w:type="dxa"/>
            <w:tcBorders>
              <w:right w:val="single" w:sz="2" w:space="0" w:color="808080" w:themeColor="background1" w:themeShade="80"/>
            </w:tcBorders>
            <w:shd w:val="clear" w:color="auto" w:fill="FFFFFF" w:themeFill="background1"/>
            <w:vAlign w:val="center"/>
          </w:tcPr>
          <w:p w14:paraId="73A95A3D" w14:textId="6585F432"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(114,6)</w:t>
            </w:r>
          </w:p>
        </w:tc>
        <w:tc>
          <w:tcPr>
            <w:tcW w:w="1301" w:type="dxa"/>
            <w:tcBorders>
              <w:left w:val="single" w:sz="2" w:space="0" w:color="808080" w:themeColor="background1" w:themeShade="80"/>
            </w:tcBorders>
            <w:shd w:val="clear" w:color="auto" w:fill="FFFFFF" w:themeFill="background1"/>
            <w:vAlign w:val="center"/>
          </w:tcPr>
          <w:p w14:paraId="42F7CD12" w14:textId="22802E1C"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(40,0)</w:t>
            </w:r>
          </w:p>
        </w:tc>
        <w:tc>
          <w:tcPr>
            <w:tcW w:w="1301" w:type="dxa"/>
            <w:shd w:val="clear" w:color="auto" w:fill="FFFFFF" w:themeFill="background1"/>
            <w:vAlign w:val="center"/>
          </w:tcPr>
          <w:p w14:paraId="37830F92" w14:textId="7DFD942B"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(287,7)</w:t>
            </w:r>
          </w:p>
        </w:tc>
      </w:tr>
      <w:tr w:rsidR="001C73D2" w:rsidRPr="00CB2967" w14:paraId="702C6AE7"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2473A42B" w14:textId="09C9C0C8" w:rsidR="001C73D2" w:rsidRPr="00AE255B" w:rsidRDefault="001C73D2" w:rsidP="001C73D2">
            <w:pPr>
              <w:pStyle w:val="ColorfulList-Accent11"/>
              <w:tabs>
                <w:tab w:val="left" w:pos="0"/>
                <w:tab w:val="left" w:pos="284"/>
              </w:tabs>
              <w:ind w:left="0" w:right="-90"/>
              <w:rPr>
                <w:rFonts w:ascii="Arial" w:hAnsi="Arial" w:cs="Arial"/>
                <w:i/>
                <w:color w:val="000000" w:themeColor="text1"/>
                <w:sz w:val="17"/>
                <w:szCs w:val="17"/>
              </w:rPr>
            </w:pPr>
            <w:r w:rsidRPr="00AE255B">
              <w:rPr>
                <w:rFonts w:ascii="Arial" w:hAnsi="Arial" w:cs="Arial"/>
                <w:color w:val="000000" w:themeColor="text1"/>
                <w:sz w:val="18"/>
                <w:szCs w:val="18"/>
              </w:rPr>
              <w:t xml:space="preserve">Αποπληρωμή </w:t>
            </w:r>
            <w:r w:rsidRPr="00AE255B">
              <w:rPr>
                <w:rFonts w:ascii="Arial" w:hAnsi="Arial" w:cs="Arial"/>
                <w:color w:val="000000" w:themeColor="text1"/>
                <w:sz w:val="18"/>
                <w:szCs w:val="18"/>
                <w:lang w:val="el-GR"/>
              </w:rPr>
              <w:t>υποχρεώσεων από μισθώσεις</w:t>
            </w:r>
          </w:p>
        </w:tc>
        <w:tc>
          <w:tcPr>
            <w:tcW w:w="1427" w:type="dxa"/>
            <w:tcBorders>
              <w:left w:val="single" w:sz="2" w:space="0" w:color="808080" w:themeColor="background1" w:themeShade="80"/>
            </w:tcBorders>
            <w:shd w:val="clear" w:color="auto" w:fill="FFFFFF" w:themeFill="background1"/>
            <w:vAlign w:val="center"/>
          </w:tcPr>
          <w:p w14:paraId="036DBA13" w14:textId="6467F9EA"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(20,0)</w:t>
            </w:r>
          </w:p>
        </w:tc>
        <w:tc>
          <w:tcPr>
            <w:tcW w:w="1429" w:type="dxa"/>
            <w:tcBorders>
              <w:right w:val="single" w:sz="2" w:space="0" w:color="808080" w:themeColor="background1" w:themeShade="80"/>
            </w:tcBorders>
            <w:shd w:val="clear" w:color="auto" w:fill="FFFFFF" w:themeFill="background1"/>
            <w:vAlign w:val="center"/>
          </w:tcPr>
          <w:p w14:paraId="23882413" w14:textId="7AEAD56B"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(21,2)</w:t>
            </w:r>
          </w:p>
        </w:tc>
        <w:tc>
          <w:tcPr>
            <w:tcW w:w="1301" w:type="dxa"/>
            <w:tcBorders>
              <w:left w:val="single" w:sz="2" w:space="0" w:color="808080" w:themeColor="background1" w:themeShade="80"/>
            </w:tcBorders>
            <w:shd w:val="clear" w:color="auto" w:fill="FFFFFF" w:themeFill="background1"/>
            <w:vAlign w:val="center"/>
          </w:tcPr>
          <w:p w14:paraId="38DCB715" w14:textId="10AE0B6A"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(71,6)</w:t>
            </w:r>
          </w:p>
        </w:tc>
        <w:tc>
          <w:tcPr>
            <w:tcW w:w="1301" w:type="dxa"/>
            <w:shd w:val="clear" w:color="auto" w:fill="FFFFFF" w:themeFill="background1"/>
            <w:vAlign w:val="center"/>
          </w:tcPr>
          <w:p w14:paraId="066873BA" w14:textId="7E97F7CB"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(82,9)</w:t>
            </w:r>
          </w:p>
        </w:tc>
      </w:tr>
      <w:tr w:rsidR="001C73D2" w:rsidRPr="00CB2967" w14:paraId="26FE07A2" w14:textId="77777777" w:rsidTr="00744EE5">
        <w:trPr>
          <w:trHeight w:val="225"/>
        </w:trPr>
        <w:tc>
          <w:tcPr>
            <w:tcW w:w="4858" w:type="dxa"/>
            <w:tcBorders>
              <w:right w:val="single" w:sz="2" w:space="0" w:color="808080" w:themeColor="background1" w:themeShade="80"/>
            </w:tcBorders>
            <w:shd w:val="clear" w:color="auto" w:fill="FFFFFF" w:themeFill="background1"/>
            <w:vAlign w:val="center"/>
          </w:tcPr>
          <w:p w14:paraId="730E12EE" w14:textId="3202BD5C" w:rsidR="001C73D2" w:rsidRPr="00946673" w:rsidRDefault="001C73D2" w:rsidP="001C73D2">
            <w:pPr>
              <w:pStyle w:val="ColorfulList-Accent11"/>
              <w:tabs>
                <w:tab w:val="left" w:pos="0"/>
                <w:tab w:val="left" w:pos="284"/>
              </w:tabs>
              <w:ind w:left="0" w:right="-90"/>
              <w:rPr>
                <w:rFonts w:ascii="Arial" w:hAnsi="Arial" w:cs="Arial"/>
                <w:i/>
                <w:sz w:val="17"/>
                <w:szCs w:val="17"/>
                <w:lang w:val="el-GR"/>
              </w:rPr>
            </w:pPr>
            <w:r w:rsidRPr="00732690">
              <w:rPr>
                <w:rFonts w:ascii="Arial" w:hAnsi="Arial" w:cs="Arial"/>
                <w:sz w:val="18"/>
                <w:szCs w:val="18"/>
                <w:lang w:val="el-GR"/>
              </w:rPr>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427" w:type="dxa"/>
            <w:tcBorders>
              <w:left w:val="single" w:sz="2" w:space="0" w:color="808080" w:themeColor="background1" w:themeShade="80"/>
            </w:tcBorders>
            <w:shd w:val="clear" w:color="auto" w:fill="FFFFFF" w:themeFill="background1"/>
            <w:vAlign w:val="center"/>
          </w:tcPr>
          <w:p w14:paraId="7DF92DC4" w14:textId="4A6B56B3"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0,3 </w:t>
            </w:r>
          </w:p>
        </w:tc>
        <w:tc>
          <w:tcPr>
            <w:tcW w:w="1429" w:type="dxa"/>
            <w:tcBorders>
              <w:right w:val="single" w:sz="2" w:space="0" w:color="808080" w:themeColor="background1" w:themeShade="80"/>
            </w:tcBorders>
            <w:shd w:val="clear" w:color="auto" w:fill="FFFFFF" w:themeFill="background1"/>
            <w:vAlign w:val="center"/>
          </w:tcPr>
          <w:p w14:paraId="5B5DBB67" w14:textId="31268C5E"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2,0 </w:t>
            </w:r>
          </w:p>
        </w:tc>
        <w:tc>
          <w:tcPr>
            <w:tcW w:w="1301" w:type="dxa"/>
            <w:tcBorders>
              <w:left w:val="single" w:sz="2" w:space="0" w:color="808080" w:themeColor="background1" w:themeShade="80"/>
            </w:tcBorders>
            <w:shd w:val="clear" w:color="auto" w:fill="FFFFFF" w:themeFill="background1"/>
            <w:vAlign w:val="center"/>
          </w:tcPr>
          <w:p w14:paraId="35EB3A5B" w14:textId="7201B281"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3,8 </w:t>
            </w:r>
          </w:p>
        </w:tc>
        <w:tc>
          <w:tcPr>
            <w:tcW w:w="1301" w:type="dxa"/>
            <w:shd w:val="clear" w:color="auto" w:fill="FFFFFF" w:themeFill="background1"/>
            <w:vAlign w:val="center"/>
          </w:tcPr>
          <w:p w14:paraId="1C2A8A08" w14:textId="535EEA0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1,3 </w:t>
            </w:r>
          </w:p>
        </w:tc>
      </w:tr>
      <w:tr w:rsidR="001C73D2" w:rsidRPr="00CB2967" w14:paraId="08DE0838"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A77AA90" w14:textId="3371E5DA" w:rsidR="001C73D2" w:rsidRPr="00946673" w:rsidRDefault="001C73D2" w:rsidP="001C73D2">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Μερίσματα πληρωθέντα σε μετόχους της Εταιρείας</w:t>
            </w:r>
          </w:p>
        </w:tc>
        <w:tc>
          <w:tcPr>
            <w:tcW w:w="1427"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5BD758E9" w14:textId="211D408A"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(0,5)</w:t>
            </w:r>
          </w:p>
        </w:tc>
        <w:tc>
          <w:tcPr>
            <w:tcW w:w="1429"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6F7AD38F" w14:textId="7777777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56130AE3" w14:textId="43C1E542"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(296,9)</w:t>
            </w:r>
          </w:p>
        </w:tc>
        <w:tc>
          <w:tcPr>
            <w:tcW w:w="1301" w:type="dxa"/>
            <w:tcBorders>
              <w:bottom w:val="single" w:sz="2" w:space="0" w:color="808080" w:themeColor="background1" w:themeShade="80"/>
            </w:tcBorders>
            <w:shd w:val="clear" w:color="auto" w:fill="FFFFFF" w:themeFill="background1"/>
            <w:vAlign w:val="center"/>
          </w:tcPr>
          <w:p w14:paraId="33957CB5" w14:textId="048BB37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(249,9)</w:t>
            </w:r>
          </w:p>
        </w:tc>
      </w:tr>
      <w:tr w:rsidR="001C73D2" w:rsidRPr="00CB2967" w14:paraId="3821C363" w14:textId="77777777" w:rsidTr="00744EE5">
        <w:trPr>
          <w:trHeight w:val="368"/>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EE055D" w14:textId="0ED98B37" w:rsidR="001C73D2" w:rsidRPr="00946673" w:rsidRDefault="001C73D2" w:rsidP="001C73D2">
            <w:pPr>
              <w:pStyle w:val="ColorfulList-Accent11"/>
              <w:tabs>
                <w:tab w:val="left" w:pos="0"/>
                <w:tab w:val="left" w:pos="284"/>
              </w:tabs>
              <w:ind w:left="0" w:right="-90"/>
              <w:rPr>
                <w:rFonts w:ascii="Arial" w:hAnsi="Arial" w:cs="Arial"/>
                <w:sz w:val="17"/>
                <w:szCs w:val="17"/>
                <w:lang w:val="el-GR"/>
              </w:rPr>
            </w:pPr>
            <w:r w:rsidRPr="00537848">
              <w:rPr>
                <w:rFonts w:ascii="Arial" w:hAnsi="Arial" w:cs="Arial"/>
                <w:b/>
                <w:bCs/>
                <w:sz w:val="18"/>
                <w:szCs w:val="18"/>
                <w:lang w:val="el-GR"/>
              </w:rPr>
              <w:t>Καθαρές ταμειακές εκροές από χρηματοδοτικές δραστηριότητες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50A363" w14:textId="41FD90A0"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b/>
                <w:bCs/>
                <w:sz w:val="18"/>
                <w:szCs w:val="18"/>
              </w:rPr>
              <w:t>(117,2)</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990EAB" w14:textId="634D40C3"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b/>
                <w:bCs/>
                <w:sz w:val="18"/>
                <w:szCs w:val="18"/>
              </w:rPr>
              <w:t>(181,9)</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8D479C8" w14:textId="79DA19AC"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(515,3)</w:t>
            </w:r>
          </w:p>
        </w:tc>
        <w:tc>
          <w:tcPr>
            <w:tcW w:w="1301"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A50C851" w14:textId="0DB62A55"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(716,3)</w:t>
            </w:r>
          </w:p>
        </w:tc>
      </w:tr>
      <w:tr w:rsidR="001C73D2" w:rsidRPr="00CB2967" w14:paraId="00F4453A" w14:textId="77777777" w:rsidTr="00744EE5">
        <w:trPr>
          <w:trHeight w:val="288"/>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2517F64" w14:textId="098ACC0C" w:rsidR="001C73D2" w:rsidRPr="00946673" w:rsidRDefault="001C73D2" w:rsidP="001C73D2">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bCs/>
                <w:sz w:val="18"/>
                <w:szCs w:val="18"/>
                <w:lang w:val="el-GR"/>
              </w:rPr>
              <w:t xml:space="preserve">Καθαρή αύξηση/( μείωση) ταμειακών διαθεσίμων και ταμειακών ισοδυνάμων </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B90CB51" w14:textId="4F9F8EA3"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4,1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CD48771" w14:textId="43684670"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(54,8)</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05CE08C" w14:textId="7D0DC1C1"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2,8 </w:t>
            </w:r>
          </w:p>
        </w:tc>
        <w:tc>
          <w:tcPr>
            <w:tcW w:w="1301"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1F11A2" w14:textId="09AACE7C"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(126,0)</w:t>
            </w:r>
          </w:p>
        </w:tc>
      </w:tr>
      <w:tr w:rsidR="001C73D2" w:rsidRPr="00CB2967" w14:paraId="50368C40" w14:textId="77777777" w:rsidTr="00744EE5">
        <w:trPr>
          <w:trHeight w:val="307"/>
        </w:trPr>
        <w:tc>
          <w:tcPr>
            <w:tcW w:w="4858"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36107F96" w14:textId="40A4D521" w:rsidR="001C73D2" w:rsidRPr="00946673" w:rsidRDefault="001C73D2" w:rsidP="001C73D2">
            <w:pPr>
              <w:pStyle w:val="ColorfulList-Accent11"/>
              <w:tabs>
                <w:tab w:val="left" w:pos="0"/>
                <w:tab w:val="left" w:pos="284"/>
              </w:tabs>
              <w:ind w:left="0" w:right="-90"/>
              <w:rPr>
                <w:rFonts w:ascii="Arial" w:hAnsi="Arial" w:cs="Arial"/>
                <w:b/>
                <w:sz w:val="17"/>
                <w:szCs w:val="17"/>
                <w:lang w:val="el-GR"/>
              </w:rPr>
            </w:pPr>
            <w:r w:rsidRPr="00CE1622">
              <w:rPr>
                <w:rFonts w:ascii="Arial" w:hAnsi="Arial" w:cs="Arial"/>
                <w:b/>
                <w:sz w:val="18"/>
                <w:szCs w:val="18"/>
                <w:lang w:val="el-GR"/>
              </w:rPr>
              <w:t xml:space="preserve">Ταμειακά διαθέσιμα και ταμειακά ισοδύναμα έναρξης </w:t>
            </w:r>
            <w:r>
              <w:rPr>
                <w:rFonts w:ascii="Arial" w:hAnsi="Arial" w:cs="Arial"/>
                <w:b/>
                <w:sz w:val="18"/>
                <w:szCs w:val="18"/>
                <w:lang w:val="el-GR"/>
              </w:rPr>
              <w:t>χρήσης</w:t>
            </w:r>
            <w:r w:rsidRPr="00CE1622">
              <w:rPr>
                <w:rFonts w:ascii="Arial" w:hAnsi="Arial" w:cs="Arial"/>
                <w:b/>
                <w:sz w:val="18"/>
                <w:szCs w:val="18"/>
                <w:lang w:val="el-GR"/>
              </w:rPr>
              <w:t xml:space="preserve"> </w:t>
            </w:r>
          </w:p>
        </w:tc>
        <w:tc>
          <w:tcPr>
            <w:tcW w:w="1427"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31FB7C34" w14:textId="7AF00869"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sidRPr="00EC3DF7">
              <w:rPr>
                <w:rFonts w:ascii="Arial" w:hAnsi="Arial" w:cs="Arial"/>
                <w:b/>
                <w:bCs/>
                <w:sz w:val="18"/>
                <w:szCs w:val="18"/>
              </w:rPr>
              <w:t>462</w:t>
            </w:r>
            <w:r>
              <w:rPr>
                <w:rFonts w:ascii="Arial" w:hAnsi="Arial" w:cs="Arial"/>
                <w:b/>
                <w:bCs/>
                <w:sz w:val="18"/>
                <w:szCs w:val="18"/>
              </w:rPr>
              <w:t>,</w:t>
            </w:r>
            <w:r w:rsidRPr="00EC3DF7">
              <w:rPr>
                <w:rFonts w:ascii="Arial" w:hAnsi="Arial" w:cs="Arial"/>
                <w:b/>
                <w:bCs/>
                <w:sz w:val="18"/>
                <w:szCs w:val="18"/>
              </w:rPr>
              <w:t xml:space="preserve">1 </w:t>
            </w:r>
          </w:p>
        </w:tc>
        <w:tc>
          <w:tcPr>
            <w:tcW w:w="1429"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17D8AC9D" w14:textId="6E8B6829"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sidRPr="00EC3DF7">
              <w:rPr>
                <w:rFonts w:ascii="Arial" w:hAnsi="Arial" w:cs="Arial"/>
                <w:b/>
                <w:bCs/>
                <w:sz w:val="18"/>
                <w:szCs w:val="18"/>
              </w:rPr>
              <w:t>519</w:t>
            </w:r>
            <w:r>
              <w:rPr>
                <w:rFonts w:ascii="Arial" w:hAnsi="Arial" w:cs="Arial"/>
                <w:b/>
                <w:bCs/>
                <w:sz w:val="18"/>
                <w:szCs w:val="18"/>
              </w:rPr>
              <w:t>,</w:t>
            </w:r>
            <w:r w:rsidRPr="00EC3DF7">
              <w:rPr>
                <w:rFonts w:ascii="Arial" w:hAnsi="Arial" w:cs="Arial"/>
                <w:b/>
                <w:bCs/>
                <w:sz w:val="18"/>
                <w:szCs w:val="18"/>
              </w:rPr>
              <w:t xml:space="preserve">1 </w:t>
            </w:r>
          </w:p>
        </w:tc>
        <w:tc>
          <w:tcPr>
            <w:tcW w:w="1301"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6E62AEB7" w14:textId="159AA275" w:rsidR="001C73D2" w:rsidRPr="00EC3DF7" w:rsidRDefault="001C73D2" w:rsidP="001C73D2">
            <w:pPr>
              <w:pStyle w:val="ColorfulList-Accent11"/>
              <w:tabs>
                <w:tab w:val="left" w:pos="0"/>
                <w:tab w:val="left" w:pos="284"/>
              </w:tabs>
              <w:ind w:left="0" w:right="-90"/>
              <w:jc w:val="center"/>
              <w:rPr>
                <w:rFonts w:ascii="Arial" w:hAnsi="Arial" w:cs="Arial"/>
                <w:b/>
                <w:sz w:val="18"/>
                <w:szCs w:val="18"/>
              </w:rPr>
            </w:pPr>
            <w:r w:rsidRPr="00EC3DF7">
              <w:rPr>
                <w:rFonts w:ascii="Arial" w:hAnsi="Arial" w:cs="Arial"/>
                <w:b/>
                <w:bCs/>
                <w:sz w:val="18"/>
                <w:szCs w:val="18"/>
              </w:rPr>
              <w:t>463</w:t>
            </w:r>
            <w:r>
              <w:rPr>
                <w:rFonts w:ascii="Arial" w:hAnsi="Arial" w:cs="Arial"/>
                <w:b/>
                <w:bCs/>
                <w:sz w:val="18"/>
                <w:szCs w:val="18"/>
              </w:rPr>
              <w:t>,</w:t>
            </w:r>
            <w:r w:rsidRPr="00EC3DF7">
              <w:rPr>
                <w:rFonts w:ascii="Arial" w:hAnsi="Arial" w:cs="Arial"/>
                <w:b/>
                <w:bCs/>
                <w:sz w:val="18"/>
                <w:szCs w:val="18"/>
              </w:rPr>
              <w:t xml:space="preserve">9 </w:t>
            </w:r>
          </w:p>
        </w:tc>
        <w:tc>
          <w:tcPr>
            <w:tcW w:w="1301" w:type="dxa"/>
            <w:tcBorders>
              <w:top w:val="single" w:sz="2" w:space="0" w:color="808080" w:themeColor="background1" w:themeShade="80"/>
            </w:tcBorders>
            <w:shd w:val="clear" w:color="auto" w:fill="FFFFFF" w:themeFill="background1"/>
            <w:vAlign w:val="center"/>
          </w:tcPr>
          <w:p w14:paraId="5AD59EB6" w14:textId="72DE6E3A" w:rsidR="001C73D2" w:rsidRPr="00EC3DF7" w:rsidRDefault="001C73D2" w:rsidP="001C73D2">
            <w:pPr>
              <w:pStyle w:val="ColorfulList-Accent11"/>
              <w:tabs>
                <w:tab w:val="left" w:pos="0"/>
                <w:tab w:val="left" w:pos="284"/>
              </w:tabs>
              <w:ind w:left="0" w:right="-90"/>
              <w:jc w:val="center"/>
              <w:rPr>
                <w:rFonts w:ascii="Arial" w:hAnsi="Arial" w:cs="Arial"/>
                <w:b/>
                <w:sz w:val="18"/>
                <w:szCs w:val="18"/>
              </w:rPr>
            </w:pPr>
            <w:r w:rsidRPr="00EC3DF7">
              <w:rPr>
                <w:rFonts w:ascii="Arial" w:hAnsi="Arial" w:cs="Arial"/>
                <w:b/>
                <w:bCs/>
                <w:sz w:val="18"/>
                <w:szCs w:val="18"/>
              </w:rPr>
              <w:t>590</w:t>
            </w:r>
            <w:r>
              <w:rPr>
                <w:rFonts w:ascii="Arial" w:hAnsi="Arial" w:cs="Arial"/>
                <w:b/>
                <w:bCs/>
                <w:sz w:val="18"/>
                <w:szCs w:val="18"/>
              </w:rPr>
              <w:t>,</w:t>
            </w:r>
            <w:r w:rsidRPr="00EC3DF7">
              <w:rPr>
                <w:rFonts w:ascii="Arial" w:hAnsi="Arial" w:cs="Arial"/>
                <w:b/>
                <w:bCs/>
                <w:sz w:val="18"/>
                <w:szCs w:val="18"/>
              </w:rPr>
              <w:t xml:space="preserve">1 </w:t>
            </w:r>
          </w:p>
        </w:tc>
      </w:tr>
      <w:tr w:rsidR="001C73D2" w:rsidRPr="00CB2967" w14:paraId="05181A05"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57AF4ED0" w14:textId="73D8E285" w:rsidR="001C73D2" w:rsidRPr="00C21D91" w:rsidRDefault="001C73D2" w:rsidP="001C73D2">
            <w:pPr>
              <w:pStyle w:val="ColorfulList-Accent11"/>
              <w:tabs>
                <w:tab w:val="left" w:pos="0"/>
                <w:tab w:val="left" w:pos="284"/>
              </w:tabs>
              <w:ind w:left="0" w:right="-90"/>
              <w:rPr>
                <w:rFonts w:ascii="Arial" w:hAnsi="Arial" w:cs="Arial"/>
                <w:b/>
                <w:sz w:val="17"/>
                <w:szCs w:val="17"/>
              </w:rPr>
            </w:pPr>
            <w:r w:rsidRPr="004A370F">
              <w:rPr>
                <w:rFonts w:ascii="Arial" w:hAnsi="Arial" w:cs="Arial"/>
                <w:sz w:val="18"/>
                <w:szCs w:val="18"/>
                <w:lang w:val="el-GR"/>
              </w:rPr>
              <w:t>Συναλλαγματικές διαφορές στα διαθέσιμα</w:t>
            </w:r>
          </w:p>
        </w:tc>
        <w:tc>
          <w:tcPr>
            <w:tcW w:w="1427"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7B6F5A0D" w14:textId="246F364C"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 xml:space="preserve">0,8 </w:t>
            </w:r>
          </w:p>
        </w:tc>
        <w:tc>
          <w:tcPr>
            <w:tcW w:w="1429"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9DE926A" w14:textId="0BDBFFF2"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(0,4)</w:t>
            </w:r>
          </w:p>
        </w:tc>
        <w:tc>
          <w:tcPr>
            <w:tcW w:w="130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6AA3E9B6" w14:textId="3BE9E75F"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0,3 </w:t>
            </w:r>
          </w:p>
        </w:tc>
        <w:tc>
          <w:tcPr>
            <w:tcW w:w="1301" w:type="dxa"/>
            <w:tcBorders>
              <w:bottom w:val="single" w:sz="2" w:space="0" w:color="808080" w:themeColor="background1" w:themeShade="80"/>
            </w:tcBorders>
            <w:shd w:val="clear" w:color="auto" w:fill="FFFFFF" w:themeFill="background1"/>
            <w:vAlign w:val="center"/>
          </w:tcPr>
          <w:p w14:paraId="2D49D90A" w14:textId="0D0A8400"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(0,2)</w:t>
            </w:r>
          </w:p>
        </w:tc>
      </w:tr>
      <w:tr w:rsidR="001C73D2" w:rsidRPr="00CB2967" w14:paraId="20ADF7E6" w14:textId="77777777" w:rsidTr="00744EE5">
        <w:trPr>
          <w:trHeight w:val="442"/>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8AAECF0" w14:textId="0907E53D" w:rsidR="001C73D2" w:rsidRPr="00946673" w:rsidRDefault="001C73D2" w:rsidP="001C73D2">
            <w:pPr>
              <w:pStyle w:val="ColorfulList-Accent11"/>
              <w:tabs>
                <w:tab w:val="left" w:pos="0"/>
                <w:tab w:val="left" w:pos="284"/>
              </w:tabs>
              <w:ind w:left="0" w:right="-90"/>
              <w:rPr>
                <w:rFonts w:ascii="Arial" w:hAnsi="Arial" w:cs="Arial"/>
                <w:b/>
                <w:sz w:val="17"/>
                <w:szCs w:val="17"/>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05072BB" w14:textId="4D3D6DEA"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467,0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94E249C" w14:textId="6C5232FD"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463,9 </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5DF42BF" w14:textId="148E908F"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467,0 </w:t>
            </w:r>
          </w:p>
        </w:tc>
        <w:tc>
          <w:tcPr>
            <w:tcW w:w="1301"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1107D90" w14:textId="5CADC880"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463,9 </w:t>
            </w:r>
          </w:p>
        </w:tc>
      </w:tr>
    </w:tbl>
    <w:p w14:paraId="2E8EE7A9" w14:textId="352BAD84" w:rsidR="0009277C" w:rsidRPr="0009277C" w:rsidRDefault="0009277C" w:rsidP="002C23A2">
      <w:pPr>
        <w:rPr>
          <w:lang w:val="en-US" w:eastAsia="el-GR"/>
        </w:rPr>
      </w:pPr>
    </w:p>
    <w:sectPr w:rsidR="0009277C" w:rsidRPr="0009277C" w:rsidSect="005B6F70">
      <w:headerReference w:type="default" r:id="rId15"/>
      <w:footerReference w:type="default" r:id="rId16"/>
      <w:headerReference w:type="first" r:id="rId17"/>
      <w:footerReference w:type="first" r:id="rId18"/>
      <w:pgSz w:w="11906" w:h="16838"/>
      <w:pgMar w:top="54" w:right="709" w:bottom="244" w:left="709" w:header="709"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5F86" w14:textId="77777777" w:rsidR="00001CD7" w:rsidRDefault="00001CD7" w:rsidP="00566B01">
      <w:pPr>
        <w:spacing w:after="0" w:line="240" w:lineRule="auto"/>
      </w:pPr>
      <w:r>
        <w:separator/>
      </w:r>
    </w:p>
  </w:endnote>
  <w:endnote w:type="continuationSeparator" w:id="0">
    <w:p w14:paraId="03691CD4" w14:textId="77777777" w:rsidR="00001CD7" w:rsidRDefault="00001CD7" w:rsidP="00566B01">
      <w:pPr>
        <w:spacing w:after="0" w:line="240" w:lineRule="auto"/>
      </w:pPr>
      <w:r>
        <w:continuationSeparator/>
      </w:r>
    </w:p>
  </w:endnote>
  <w:endnote w:type="continuationNotice" w:id="1">
    <w:p w14:paraId="3CC3848B" w14:textId="77777777" w:rsidR="00001CD7" w:rsidRDefault="00001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Calibri"/>
    <w:charset w:val="00"/>
    <w:family w:val="swiss"/>
    <w:pitch w:val="variable"/>
    <w:sig w:usb0="00000287" w:usb1="00000001"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E8F" w14:textId="5DB50525" w:rsidR="004A6177" w:rsidRDefault="004A6177">
    <w:pPr>
      <w:pStyle w:val="Footer"/>
    </w:pPr>
    <w:r>
      <w:rPr>
        <w:noProof/>
      </w:rPr>
      <w:drawing>
        <wp:anchor distT="0" distB="0" distL="114300" distR="114300" simplePos="0" relativeHeight="251658242" behindDoc="0" locked="0" layoutInCell="1" allowOverlap="1" wp14:anchorId="1CACB18D" wp14:editId="5E1C5CAA">
          <wp:simplePos x="0" y="0"/>
          <wp:positionH relativeFrom="column">
            <wp:posOffset>5073650</wp:posOffset>
          </wp:positionH>
          <wp:positionV relativeFrom="paragraph">
            <wp:posOffset>-89444</wp:posOffset>
          </wp:positionV>
          <wp:extent cx="1808480" cy="46164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5C43" w14:textId="77777777" w:rsidR="00001CD7" w:rsidRDefault="00001CD7" w:rsidP="00566B01">
      <w:pPr>
        <w:spacing w:after="0" w:line="240" w:lineRule="auto"/>
      </w:pPr>
      <w:r>
        <w:separator/>
      </w:r>
    </w:p>
  </w:footnote>
  <w:footnote w:type="continuationSeparator" w:id="0">
    <w:p w14:paraId="45E8FD8B" w14:textId="77777777" w:rsidR="00001CD7" w:rsidRDefault="00001CD7" w:rsidP="00566B01">
      <w:pPr>
        <w:spacing w:after="0" w:line="240" w:lineRule="auto"/>
      </w:pPr>
      <w:r>
        <w:continuationSeparator/>
      </w:r>
    </w:p>
  </w:footnote>
  <w:footnote w:type="continuationNotice" w:id="1">
    <w:p w14:paraId="227F51C9" w14:textId="77777777" w:rsidR="00001CD7" w:rsidRDefault="00001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39" w14:textId="0DFE374F" w:rsidR="00566B01" w:rsidRDefault="00F46921" w:rsidP="0009084A">
    <w:pPr>
      <w:pStyle w:val="Header"/>
      <w:tabs>
        <w:tab w:val="clear" w:pos="4153"/>
        <w:tab w:val="clear" w:pos="8306"/>
        <w:tab w:val="left" w:pos="6336"/>
      </w:tabs>
    </w:pPr>
    <w:r>
      <w:rPr>
        <w:noProof/>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DE5" w14:textId="2C31F2E4" w:rsidR="0038461B" w:rsidRDefault="0038461B">
    <w:pPr>
      <w:pStyle w:val="Header"/>
    </w:pPr>
    <w:r>
      <w:rPr>
        <w:noProof/>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80F135"/>
    <w:multiLevelType w:val="hybridMultilevel"/>
    <w:tmpl w:val="FFFFFFFF"/>
    <w:lvl w:ilvl="0" w:tplc="FFFFFFFF">
      <w:start w:val="1"/>
      <w:numFmt w:val="bullet"/>
      <w:lvlText w:val="•"/>
      <w:lvlJc w:val="left"/>
    </w:lvl>
    <w:lvl w:ilvl="1" w:tplc="456BA8C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60C3A50"/>
    <w:multiLevelType w:val="hybridMultilevel"/>
    <w:tmpl w:val="BE206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15:restartNumberingAfterBreak="0">
    <w:nsid w:val="07C704D5"/>
    <w:multiLevelType w:val="hybridMultilevel"/>
    <w:tmpl w:val="1C183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53CE3"/>
    <w:multiLevelType w:val="hybridMultilevel"/>
    <w:tmpl w:val="3A1A5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3629B7"/>
    <w:multiLevelType w:val="hybridMultilevel"/>
    <w:tmpl w:val="2DB00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7717353"/>
    <w:multiLevelType w:val="hybridMultilevel"/>
    <w:tmpl w:val="2C10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D933C91"/>
    <w:multiLevelType w:val="hybridMultilevel"/>
    <w:tmpl w:val="CECC03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1E443CEE"/>
    <w:multiLevelType w:val="hybridMultilevel"/>
    <w:tmpl w:val="5BE240D4"/>
    <w:lvl w:ilvl="0" w:tplc="04090005">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9" w15:restartNumberingAfterBreak="0">
    <w:nsid w:val="1FDB4344"/>
    <w:multiLevelType w:val="hybridMultilevel"/>
    <w:tmpl w:val="93C2EA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22" w15:restartNumberingAfterBreak="0">
    <w:nsid w:val="29F00D93"/>
    <w:multiLevelType w:val="hybridMultilevel"/>
    <w:tmpl w:val="DCF8B84C"/>
    <w:lvl w:ilvl="0" w:tplc="C4EC3774">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E6F087D"/>
    <w:multiLevelType w:val="hybridMultilevel"/>
    <w:tmpl w:val="BAE8F6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3">
      <w:start w:val="1"/>
      <w:numFmt w:val="bullet"/>
      <w:lvlText w:val="o"/>
      <w:lvlJc w:val="left"/>
      <w:pPr>
        <w:ind w:left="1800" w:hanging="360"/>
      </w:pPr>
      <w:rPr>
        <w:rFonts w:ascii="Courier New" w:hAnsi="Courier New" w:cs="Courier New"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31E01DB4"/>
    <w:multiLevelType w:val="hybridMultilevel"/>
    <w:tmpl w:val="6A28DB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16C0367"/>
    <w:multiLevelType w:val="hybridMultilevel"/>
    <w:tmpl w:val="8B8AC44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1" w15:restartNumberingAfterBreak="0">
    <w:nsid w:val="41F34F61"/>
    <w:multiLevelType w:val="hybridMultilevel"/>
    <w:tmpl w:val="0952E4EA"/>
    <w:lvl w:ilvl="0" w:tplc="A5BA8046">
      <w:start w:val="1"/>
      <w:numFmt w:val="bullet"/>
      <w:lvlText w:val=""/>
      <w:lvlJc w:val="left"/>
      <w:pPr>
        <w:tabs>
          <w:tab w:val="num" w:pos="720"/>
        </w:tabs>
        <w:ind w:left="720" w:hanging="360"/>
      </w:pPr>
      <w:rPr>
        <w:rFonts w:ascii="Symbol" w:hAnsi="Symbol" w:hint="default"/>
        <w:color w:val="0051A2"/>
      </w:rPr>
    </w:lvl>
    <w:lvl w:ilvl="1" w:tplc="601C77AC">
      <w:numFmt w:val="bullet"/>
      <w:lvlText w:val="-"/>
      <w:lvlJc w:val="left"/>
      <w:pPr>
        <w:tabs>
          <w:tab w:val="num" w:pos="1440"/>
        </w:tabs>
        <w:ind w:left="1440" w:hanging="360"/>
      </w:pPr>
      <w:rPr>
        <w:rFonts w:ascii="Franklin Gothic Book" w:eastAsia="Times New Roman" w:hAnsi="Franklin Gothic Book" w:cs="Times New Roman" w:hint="default"/>
      </w:rPr>
    </w:lvl>
    <w:lvl w:ilvl="2" w:tplc="98CE81A8">
      <w:start w:val="1"/>
      <w:numFmt w:val="decimal"/>
      <w:lvlText w:val="%3."/>
      <w:lvlJc w:val="left"/>
      <w:pPr>
        <w:tabs>
          <w:tab w:val="num" w:pos="2370"/>
        </w:tabs>
        <w:ind w:left="2370" w:hanging="390"/>
      </w:pPr>
      <w:rPr>
        <w:rFonts w:hint="default"/>
      </w:rPr>
    </w:lvl>
    <w:lvl w:ilvl="3" w:tplc="97AC37A6" w:tentative="1">
      <w:start w:val="1"/>
      <w:numFmt w:val="decimal"/>
      <w:lvlText w:val="%4."/>
      <w:lvlJc w:val="left"/>
      <w:pPr>
        <w:tabs>
          <w:tab w:val="num" w:pos="2880"/>
        </w:tabs>
        <w:ind w:left="2880" w:hanging="360"/>
      </w:pPr>
    </w:lvl>
    <w:lvl w:ilvl="4" w:tplc="31F60078" w:tentative="1">
      <w:start w:val="1"/>
      <w:numFmt w:val="lowerLetter"/>
      <w:lvlText w:val="%5."/>
      <w:lvlJc w:val="left"/>
      <w:pPr>
        <w:tabs>
          <w:tab w:val="num" w:pos="3600"/>
        </w:tabs>
        <w:ind w:left="3600" w:hanging="360"/>
      </w:pPr>
    </w:lvl>
    <w:lvl w:ilvl="5" w:tplc="3EC6A2DA" w:tentative="1">
      <w:start w:val="1"/>
      <w:numFmt w:val="lowerRoman"/>
      <w:lvlText w:val="%6."/>
      <w:lvlJc w:val="right"/>
      <w:pPr>
        <w:tabs>
          <w:tab w:val="num" w:pos="4320"/>
        </w:tabs>
        <w:ind w:left="4320" w:hanging="180"/>
      </w:pPr>
    </w:lvl>
    <w:lvl w:ilvl="6" w:tplc="19286962" w:tentative="1">
      <w:start w:val="1"/>
      <w:numFmt w:val="decimal"/>
      <w:lvlText w:val="%7."/>
      <w:lvlJc w:val="left"/>
      <w:pPr>
        <w:tabs>
          <w:tab w:val="num" w:pos="5040"/>
        </w:tabs>
        <w:ind w:left="5040" w:hanging="360"/>
      </w:pPr>
    </w:lvl>
    <w:lvl w:ilvl="7" w:tplc="476084D0" w:tentative="1">
      <w:start w:val="1"/>
      <w:numFmt w:val="lowerLetter"/>
      <w:lvlText w:val="%8."/>
      <w:lvlJc w:val="left"/>
      <w:pPr>
        <w:tabs>
          <w:tab w:val="num" w:pos="5760"/>
        </w:tabs>
        <w:ind w:left="5760" w:hanging="360"/>
      </w:pPr>
    </w:lvl>
    <w:lvl w:ilvl="8" w:tplc="7F7056B4" w:tentative="1">
      <w:start w:val="1"/>
      <w:numFmt w:val="lowerRoman"/>
      <w:lvlText w:val="%9."/>
      <w:lvlJc w:val="right"/>
      <w:pPr>
        <w:tabs>
          <w:tab w:val="num" w:pos="6480"/>
        </w:tabs>
        <w:ind w:left="6480" w:hanging="180"/>
      </w:pPr>
    </w:lvl>
  </w:abstractNum>
  <w:abstractNum w:abstractNumId="32"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7A832D0"/>
    <w:multiLevelType w:val="hybridMultilevel"/>
    <w:tmpl w:val="141CE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37" w15:restartNumberingAfterBreak="0">
    <w:nsid w:val="4C5D1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4E025C31"/>
    <w:multiLevelType w:val="hybridMultilevel"/>
    <w:tmpl w:val="1270ADC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4FDE4D74"/>
    <w:multiLevelType w:val="hybridMultilevel"/>
    <w:tmpl w:val="263AC7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54C022D0"/>
    <w:multiLevelType w:val="hybridMultilevel"/>
    <w:tmpl w:val="A036E4A8"/>
    <w:lvl w:ilvl="0" w:tplc="0409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3" w15:restartNumberingAfterBreak="0">
    <w:nsid w:val="65123689"/>
    <w:multiLevelType w:val="hybridMultilevel"/>
    <w:tmpl w:val="A5E861F8"/>
    <w:lvl w:ilvl="0" w:tplc="A77E094E">
      <w:start w:val="1"/>
      <w:numFmt w:val="upperRoman"/>
      <w:lvlText w:val="%1."/>
      <w:lvlJc w:val="left"/>
      <w:pPr>
        <w:tabs>
          <w:tab w:val="num" w:pos="1080"/>
        </w:tabs>
        <w:ind w:left="1080" w:hanging="720"/>
      </w:pPr>
      <w:rPr>
        <w:rFonts w:hint="default"/>
      </w:rPr>
    </w:lvl>
    <w:lvl w:ilvl="1" w:tplc="4DF05EFA">
      <w:start w:val="1"/>
      <w:numFmt w:val="lowerLetter"/>
      <w:lvlText w:val="%2."/>
      <w:lvlJc w:val="left"/>
      <w:pPr>
        <w:tabs>
          <w:tab w:val="num" w:pos="1440"/>
        </w:tabs>
        <w:ind w:left="1440" w:hanging="360"/>
      </w:pPr>
    </w:lvl>
    <w:lvl w:ilvl="2" w:tplc="09F40FCC">
      <w:start w:val="24"/>
      <w:numFmt w:val="decimal"/>
      <w:lvlText w:val="%3."/>
      <w:lvlJc w:val="left"/>
      <w:pPr>
        <w:tabs>
          <w:tab w:val="num" w:pos="2340"/>
        </w:tabs>
        <w:ind w:left="2340" w:hanging="360"/>
      </w:pPr>
      <w:rPr>
        <w:rFonts w:hint="default"/>
        <w:b/>
        <w:i/>
      </w:rPr>
    </w:lvl>
    <w:lvl w:ilvl="3" w:tplc="73A4CE30">
      <w:start w:val="1"/>
      <w:numFmt w:val="decimal"/>
      <w:lvlText w:val="%4."/>
      <w:lvlJc w:val="left"/>
      <w:pPr>
        <w:tabs>
          <w:tab w:val="num" w:pos="2880"/>
        </w:tabs>
        <w:ind w:left="2880" w:hanging="360"/>
      </w:pPr>
    </w:lvl>
    <w:lvl w:ilvl="4" w:tplc="9CAA9276" w:tentative="1">
      <w:start w:val="1"/>
      <w:numFmt w:val="lowerLetter"/>
      <w:lvlText w:val="%5."/>
      <w:lvlJc w:val="left"/>
      <w:pPr>
        <w:tabs>
          <w:tab w:val="num" w:pos="3600"/>
        </w:tabs>
        <w:ind w:left="3600" w:hanging="360"/>
      </w:pPr>
    </w:lvl>
    <w:lvl w:ilvl="5" w:tplc="51F825C4" w:tentative="1">
      <w:start w:val="1"/>
      <w:numFmt w:val="lowerRoman"/>
      <w:lvlText w:val="%6."/>
      <w:lvlJc w:val="right"/>
      <w:pPr>
        <w:tabs>
          <w:tab w:val="num" w:pos="4320"/>
        </w:tabs>
        <w:ind w:left="4320" w:hanging="180"/>
      </w:pPr>
    </w:lvl>
    <w:lvl w:ilvl="6" w:tplc="14541F14" w:tentative="1">
      <w:start w:val="1"/>
      <w:numFmt w:val="decimal"/>
      <w:lvlText w:val="%7."/>
      <w:lvlJc w:val="left"/>
      <w:pPr>
        <w:tabs>
          <w:tab w:val="num" w:pos="5040"/>
        </w:tabs>
        <w:ind w:left="5040" w:hanging="360"/>
      </w:pPr>
    </w:lvl>
    <w:lvl w:ilvl="7" w:tplc="8B9E917C" w:tentative="1">
      <w:start w:val="1"/>
      <w:numFmt w:val="lowerLetter"/>
      <w:lvlText w:val="%8."/>
      <w:lvlJc w:val="left"/>
      <w:pPr>
        <w:tabs>
          <w:tab w:val="num" w:pos="5760"/>
        </w:tabs>
        <w:ind w:left="5760" w:hanging="360"/>
      </w:pPr>
    </w:lvl>
    <w:lvl w:ilvl="8" w:tplc="A4840382" w:tentative="1">
      <w:start w:val="1"/>
      <w:numFmt w:val="lowerRoman"/>
      <w:lvlText w:val="%9."/>
      <w:lvlJc w:val="right"/>
      <w:pPr>
        <w:tabs>
          <w:tab w:val="num" w:pos="6480"/>
        </w:tabs>
        <w:ind w:left="6480" w:hanging="180"/>
      </w:pPr>
    </w:lvl>
  </w:abstractNum>
  <w:abstractNum w:abstractNumId="44"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948483D"/>
    <w:multiLevelType w:val="hybridMultilevel"/>
    <w:tmpl w:val="2CD2C2B6"/>
    <w:lvl w:ilvl="0" w:tplc="50009202">
      <w:start w:val="1"/>
      <w:numFmt w:val="bullet"/>
      <w:lvlText w:val=""/>
      <w:lvlJc w:val="left"/>
      <w:pPr>
        <w:ind w:left="862" w:hanging="360"/>
      </w:pPr>
      <w:rPr>
        <w:rFonts w:ascii="Symbol" w:hAnsi="Symbol" w:hint="default"/>
        <w:color w:val="0051A2"/>
      </w:rPr>
    </w:lvl>
    <w:lvl w:ilvl="1" w:tplc="F2A69438" w:tentative="1">
      <w:start w:val="1"/>
      <w:numFmt w:val="bullet"/>
      <w:lvlText w:val="o"/>
      <w:lvlJc w:val="left"/>
      <w:pPr>
        <w:ind w:left="1582" w:hanging="360"/>
      </w:pPr>
      <w:rPr>
        <w:rFonts w:ascii="Courier New" w:hAnsi="Courier New" w:cs="Courier New" w:hint="default"/>
      </w:rPr>
    </w:lvl>
    <w:lvl w:ilvl="2" w:tplc="A2C62520" w:tentative="1">
      <w:start w:val="1"/>
      <w:numFmt w:val="bullet"/>
      <w:lvlText w:val=""/>
      <w:lvlJc w:val="left"/>
      <w:pPr>
        <w:ind w:left="2302" w:hanging="360"/>
      </w:pPr>
      <w:rPr>
        <w:rFonts w:ascii="Wingdings" w:hAnsi="Wingdings" w:hint="default"/>
      </w:rPr>
    </w:lvl>
    <w:lvl w:ilvl="3" w:tplc="A7F0214E" w:tentative="1">
      <w:start w:val="1"/>
      <w:numFmt w:val="bullet"/>
      <w:lvlText w:val=""/>
      <w:lvlJc w:val="left"/>
      <w:pPr>
        <w:ind w:left="3022" w:hanging="360"/>
      </w:pPr>
      <w:rPr>
        <w:rFonts w:ascii="Symbol" w:hAnsi="Symbol" w:hint="default"/>
      </w:rPr>
    </w:lvl>
    <w:lvl w:ilvl="4" w:tplc="2D8E3050" w:tentative="1">
      <w:start w:val="1"/>
      <w:numFmt w:val="bullet"/>
      <w:lvlText w:val="o"/>
      <w:lvlJc w:val="left"/>
      <w:pPr>
        <w:ind w:left="3742" w:hanging="360"/>
      </w:pPr>
      <w:rPr>
        <w:rFonts w:ascii="Courier New" w:hAnsi="Courier New" w:cs="Courier New" w:hint="default"/>
      </w:rPr>
    </w:lvl>
    <w:lvl w:ilvl="5" w:tplc="CF963988" w:tentative="1">
      <w:start w:val="1"/>
      <w:numFmt w:val="bullet"/>
      <w:lvlText w:val=""/>
      <w:lvlJc w:val="left"/>
      <w:pPr>
        <w:ind w:left="4462" w:hanging="360"/>
      </w:pPr>
      <w:rPr>
        <w:rFonts w:ascii="Wingdings" w:hAnsi="Wingdings" w:hint="default"/>
      </w:rPr>
    </w:lvl>
    <w:lvl w:ilvl="6" w:tplc="931ACB86" w:tentative="1">
      <w:start w:val="1"/>
      <w:numFmt w:val="bullet"/>
      <w:lvlText w:val=""/>
      <w:lvlJc w:val="left"/>
      <w:pPr>
        <w:ind w:left="5182" w:hanging="360"/>
      </w:pPr>
      <w:rPr>
        <w:rFonts w:ascii="Symbol" w:hAnsi="Symbol" w:hint="default"/>
      </w:rPr>
    </w:lvl>
    <w:lvl w:ilvl="7" w:tplc="4D1823FA" w:tentative="1">
      <w:start w:val="1"/>
      <w:numFmt w:val="bullet"/>
      <w:lvlText w:val="o"/>
      <w:lvlJc w:val="left"/>
      <w:pPr>
        <w:ind w:left="5902" w:hanging="360"/>
      </w:pPr>
      <w:rPr>
        <w:rFonts w:ascii="Courier New" w:hAnsi="Courier New" w:cs="Courier New" w:hint="default"/>
      </w:rPr>
    </w:lvl>
    <w:lvl w:ilvl="8" w:tplc="B96278A4" w:tentative="1">
      <w:start w:val="1"/>
      <w:numFmt w:val="bullet"/>
      <w:lvlText w:val=""/>
      <w:lvlJc w:val="left"/>
      <w:pPr>
        <w:ind w:left="6622" w:hanging="360"/>
      </w:pPr>
      <w:rPr>
        <w:rFonts w:ascii="Wingdings" w:hAnsi="Wingdings" w:hint="default"/>
      </w:rPr>
    </w:lvl>
  </w:abstractNum>
  <w:abstractNum w:abstractNumId="46" w15:restartNumberingAfterBreak="0">
    <w:nsid w:val="6BAC6FB3"/>
    <w:multiLevelType w:val="hybridMultilevel"/>
    <w:tmpl w:val="F1A018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15:restartNumberingAfterBreak="0">
    <w:nsid w:val="704E2300"/>
    <w:multiLevelType w:val="hybridMultilevel"/>
    <w:tmpl w:val="116A88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32A5ADB"/>
    <w:multiLevelType w:val="hybridMultilevel"/>
    <w:tmpl w:val="A0207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9"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50"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9C3ADB"/>
    <w:multiLevelType w:val="hybridMultilevel"/>
    <w:tmpl w:val="28386E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52978900">
    <w:abstractNumId w:val="4"/>
  </w:num>
  <w:num w:numId="2" w16cid:durableId="1552881888">
    <w:abstractNumId w:val="49"/>
  </w:num>
  <w:num w:numId="3" w16cid:durableId="61802995">
    <w:abstractNumId w:val="1"/>
  </w:num>
  <w:num w:numId="4" w16cid:durableId="1301038642">
    <w:abstractNumId w:val="28"/>
  </w:num>
  <w:num w:numId="5" w16cid:durableId="703674127">
    <w:abstractNumId w:val="25"/>
  </w:num>
  <w:num w:numId="6" w16cid:durableId="7146810">
    <w:abstractNumId w:val="9"/>
  </w:num>
  <w:num w:numId="7" w16cid:durableId="642274394">
    <w:abstractNumId w:val="8"/>
  </w:num>
  <w:num w:numId="8" w16cid:durableId="1393655253">
    <w:abstractNumId w:val="2"/>
  </w:num>
  <w:num w:numId="9" w16cid:durableId="357782925">
    <w:abstractNumId w:val="34"/>
  </w:num>
  <w:num w:numId="10" w16cid:durableId="1052461904">
    <w:abstractNumId w:val="10"/>
  </w:num>
  <w:num w:numId="11" w16cid:durableId="2075081642">
    <w:abstractNumId w:val="20"/>
  </w:num>
  <w:num w:numId="12" w16cid:durableId="835144270">
    <w:abstractNumId w:val="36"/>
  </w:num>
  <w:num w:numId="13" w16cid:durableId="1761640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7450">
    <w:abstractNumId w:val="15"/>
  </w:num>
  <w:num w:numId="15" w16cid:durableId="1435898235">
    <w:abstractNumId w:val="32"/>
  </w:num>
  <w:num w:numId="16" w16cid:durableId="1133517901">
    <w:abstractNumId w:val="21"/>
  </w:num>
  <w:num w:numId="17" w16cid:durableId="2055733386">
    <w:abstractNumId w:val="39"/>
  </w:num>
  <w:num w:numId="18" w16cid:durableId="1426195959">
    <w:abstractNumId w:val="51"/>
  </w:num>
  <w:num w:numId="19" w16cid:durableId="2050453744">
    <w:abstractNumId w:val="12"/>
  </w:num>
  <w:num w:numId="20" w16cid:durableId="1728529483">
    <w:abstractNumId w:val="16"/>
  </w:num>
  <w:num w:numId="21" w16cid:durableId="980580866">
    <w:abstractNumId w:val="7"/>
  </w:num>
  <w:num w:numId="22" w16cid:durableId="1986201334">
    <w:abstractNumId w:val="50"/>
  </w:num>
  <w:num w:numId="23" w16cid:durableId="1080904949">
    <w:abstractNumId w:val="35"/>
  </w:num>
  <w:num w:numId="24" w16cid:durableId="446968231">
    <w:abstractNumId w:val="44"/>
  </w:num>
  <w:num w:numId="25" w16cid:durableId="87431740">
    <w:abstractNumId w:val="13"/>
  </w:num>
  <w:num w:numId="26" w16cid:durableId="385686173">
    <w:abstractNumId w:val="29"/>
  </w:num>
  <w:num w:numId="27" w16cid:durableId="919556697">
    <w:abstractNumId w:val="27"/>
  </w:num>
  <w:num w:numId="28" w16cid:durableId="1534417609">
    <w:abstractNumId w:val="23"/>
  </w:num>
  <w:num w:numId="29" w16cid:durableId="1267806219">
    <w:abstractNumId w:val="0"/>
  </w:num>
  <w:num w:numId="30" w16cid:durableId="1471287718">
    <w:abstractNumId w:val="24"/>
  </w:num>
  <w:num w:numId="31" w16cid:durableId="93594795">
    <w:abstractNumId w:val="43"/>
  </w:num>
  <w:num w:numId="32" w16cid:durableId="572738092">
    <w:abstractNumId w:val="41"/>
  </w:num>
  <w:num w:numId="33" w16cid:durableId="1049307418">
    <w:abstractNumId w:val="3"/>
  </w:num>
  <w:num w:numId="34" w16cid:durableId="35156344">
    <w:abstractNumId w:val="46"/>
  </w:num>
  <w:num w:numId="35" w16cid:durableId="1991012048">
    <w:abstractNumId w:val="48"/>
  </w:num>
  <w:num w:numId="36" w16cid:durableId="1702121328">
    <w:abstractNumId w:val="26"/>
  </w:num>
  <w:num w:numId="37" w16cid:durableId="1764303657">
    <w:abstractNumId w:val="18"/>
  </w:num>
  <w:num w:numId="38" w16cid:durableId="1218011247">
    <w:abstractNumId w:val="42"/>
  </w:num>
  <w:num w:numId="39" w16cid:durableId="204219065">
    <w:abstractNumId w:val="40"/>
  </w:num>
  <w:num w:numId="40" w16cid:durableId="268049507">
    <w:abstractNumId w:val="30"/>
  </w:num>
  <w:num w:numId="41" w16cid:durableId="1626155692">
    <w:abstractNumId w:val="37"/>
  </w:num>
  <w:num w:numId="42" w16cid:durableId="1102797946">
    <w:abstractNumId w:val="52"/>
  </w:num>
  <w:num w:numId="43" w16cid:durableId="162552358">
    <w:abstractNumId w:val="19"/>
  </w:num>
  <w:num w:numId="44" w16cid:durableId="157428518">
    <w:abstractNumId w:val="5"/>
  </w:num>
  <w:num w:numId="45" w16cid:durableId="949051026">
    <w:abstractNumId w:val="33"/>
  </w:num>
  <w:num w:numId="46" w16cid:durableId="1172990638">
    <w:abstractNumId w:val="22"/>
  </w:num>
  <w:num w:numId="47" w16cid:durableId="8623551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963499">
    <w:abstractNumId w:val="6"/>
  </w:num>
  <w:num w:numId="49" w16cid:durableId="998076647">
    <w:abstractNumId w:val="11"/>
  </w:num>
  <w:num w:numId="50" w16cid:durableId="163597180">
    <w:abstractNumId w:val="14"/>
  </w:num>
  <w:num w:numId="51" w16cid:durableId="434129327">
    <w:abstractNumId w:val="45"/>
  </w:num>
  <w:num w:numId="52" w16cid:durableId="1562908943">
    <w:abstractNumId w:val="47"/>
  </w:num>
  <w:num w:numId="53" w16cid:durableId="2083286058">
    <w:abstractNumId w:val="17"/>
  </w:num>
  <w:num w:numId="54" w16cid:durableId="207415901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0A06"/>
    <w:rsid w:val="00001CD7"/>
    <w:rsid w:val="0000230C"/>
    <w:rsid w:val="00002620"/>
    <w:rsid w:val="0000267B"/>
    <w:rsid w:val="00002C1F"/>
    <w:rsid w:val="00003F6D"/>
    <w:rsid w:val="000040E7"/>
    <w:rsid w:val="00004724"/>
    <w:rsid w:val="00004A74"/>
    <w:rsid w:val="0000541E"/>
    <w:rsid w:val="00006123"/>
    <w:rsid w:val="00006510"/>
    <w:rsid w:val="000070A0"/>
    <w:rsid w:val="0000762B"/>
    <w:rsid w:val="00012084"/>
    <w:rsid w:val="00012914"/>
    <w:rsid w:val="00013CB4"/>
    <w:rsid w:val="00013EB2"/>
    <w:rsid w:val="00014C53"/>
    <w:rsid w:val="00014E5A"/>
    <w:rsid w:val="000151D1"/>
    <w:rsid w:val="000153D7"/>
    <w:rsid w:val="00015EBE"/>
    <w:rsid w:val="00016CF7"/>
    <w:rsid w:val="000178A2"/>
    <w:rsid w:val="00017A03"/>
    <w:rsid w:val="00017A58"/>
    <w:rsid w:val="00017F4E"/>
    <w:rsid w:val="00020576"/>
    <w:rsid w:val="000208BE"/>
    <w:rsid w:val="00022C9F"/>
    <w:rsid w:val="00022F28"/>
    <w:rsid w:val="0002473E"/>
    <w:rsid w:val="00024B00"/>
    <w:rsid w:val="00026144"/>
    <w:rsid w:val="000261C2"/>
    <w:rsid w:val="00026FB3"/>
    <w:rsid w:val="000276CF"/>
    <w:rsid w:val="00027850"/>
    <w:rsid w:val="00027C49"/>
    <w:rsid w:val="00027C89"/>
    <w:rsid w:val="00030EE0"/>
    <w:rsid w:val="000313B1"/>
    <w:rsid w:val="00031A2F"/>
    <w:rsid w:val="00031A3E"/>
    <w:rsid w:val="00031B3A"/>
    <w:rsid w:val="00032620"/>
    <w:rsid w:val="00032A63"/>
    <w:rsid w:val="000359FE"/>
    <w:rsid w:val="00035B47"/>
    <w:rsid w:val="00036243"/>
    <w:rsid w:val="000362B0"/>
    <w:rsid w:val="00036427"/>
    <w:rsid w:val="0003669A"/>
    <w:rsid w:val="000413F8"/>
    <w:rsid w:val="00041A2F"/>
    <w:rsid w:val="000435F1"/>
    <w:rsid w:val="000441A7"/>
    <w:rsid w:val="0004452F"/>
    <w:rsid w:val="00045CA7"/>
    <w:rsid w:val="00045D1E"/>
    <w:rsid w:val="000500FB"/>
    <w:rsid w:val="000515D2"/>
    <w:rsid w:val="00051E74"/>
    <w:rsid w:val="00052574"/>
    <w:rsid w:val="000532AA"/>
    <w:rsid w:val="0005352A"/>
    <w:rsid w:val="00054A30"/>
    <w:rsid w:val="00054E2E"/>
    <w:rsid w:val="00054E60"/>
    <w:rsid w:val="0005555F"/>
    <w:rsid w:val="00055C03"/>
    <w:rsid w:val="00055C53"/>
    <w:rsid w:val="00056427"/>
    <w:rsid w:val="0005668D"/>
    <w:rsid w:val="00056A2F"/>
    <w:rsid w:val="000604E1"/>
    <w:rsid w:val="0006072E"/>
    <w:rsid w:val="00061369"/>
    <w:rsid w:val="00061E89"/>
    <w:rsid w:val="000625E9"/>
    <w:rsid w:val="000635AF"/>
    <w:rsid w:val="00065900"/>
    <w:rsid w:val="0006631B"/>
    <w:rsid w:val="00067369"/>
    <w:rsid w:val="00067552"/>
    <w:rsid w:val="00070286"/>
    <w:rsid w:val="00070544"/>
    <w:rsid w:val="000711BC"/>
    <w:rsid w:val="00071B93"/>
    <w:rsid w:val="00071DEA"/>
    <w:rsid w:val="0007259D"/>
    <w:rsid w:val="0007290F"/>
    <w:rsid w:val="00072A02"/>
    <w:rsid w:val="0007365A"/>
    <w:rsid w:val="00073FA3"/>
    <w:rsid w:val="0007489B"/>
    <w:rsid w:val="00074C4A"/>
    <w:rsid w:val="000750F4"/>
    <w:rsid w:val="00075D01"/>
    <w:rsid w:val="00076325"/>
    <w:rsid w:val="00077AC4"/>
    <w:rsid w:val="00077B4B"/>
    <w:rsid w:val="000807BB"/>
    <w:rsid w:val="00080D02"/>
    <w:rsid w:val="0008137B"/>
    <w:rsid w:val="000816FA"/>
    <w:rsid w:val="00081881"/>
    <w:rsid w:val="00082E8B"/>
    <w:rsid w:val="00083101"/>
    <w:rsid w:val="0008447C"/>
    <w:rsid w:val="00084951"/>
    <w:rsid w:val="00085035"/>
    <w:rsid w:val="0008748C"/>
    <w:rsid w:val="00090098"/>
    <w:rsid w:val="0009084A"/>
    <w:rsid w:val="00091067"/>
    <w:rsid w:val="00092537"/>
    <w:rsid w:val="0009277C"/>
    <w:rsid w:val="00092B17"/>
    <w:rsid w:val="00092D75"/>
    <w:rsid w:val="00093137"/>
    <w:rsid w:val="00093AA6"/>
    <w:rsid w:val="000947F7"/>
    <w:rsid w:val="00095691"/>
    <w:rsid w:val="00095C93"/>
    <w:rsid w:val="00095D99"/>
    <w:rsid w:val="00095E5C"/>
    <w:rsid w:val="000A02C6"/>
    <w:rsid w:val="000A26C7"/>
    <w:rsid w:val="000A2911"/>
    <w:rsid w:val="000A30DD"/>
    <w:rsid w:val="000A3C77"/>
    <w:rsid w:val="000A4C67"/>
    <w:rsid w:val="000A4D09"/>
    <w:rsid w:val="000A5EE3"/>
    <w:rsid w:val="000A7934"/>
    <w:rsid w:val="000B00E3"/>
    <w:rsid w:val="000B0780"/>
    <w:rsid w:val="000B07E6"/>
    <w:rsid w:val="000B21E3"/>
    <w:rsid w:val="000B2F37"/>
    <w:rsid w:val="000B2F66"/>
    <w:rsid w:val="000B30EB"/>
    <w:rsid w:val="000B31A0"/>
    <w:rsid w:val="000B330D"/>
    <w:rsid w:val="000B3E67"/>
    <w:rsid w:val="000B5D91"/>
    <w:rsid w:val="000B61A8"/>
    <w:rsid w:val="000B75BE"/>
    <w:rsid w:val="000C0842"/>
    <w:rsid w:val="000C1D79"/>
    <w:rsid w:val="000C1ED3"/>
    <w:rsid w:val="000C31A6"/>
    <w:rsid w:val="000C3A5F"/>
    <w:rsid w:val="000C401B"/>
    <w:rsid w:val="000C42DD"/>
    <w:rsid w:val="000C49FB"/>
    <w:rsid w:val="000C51BE"/>
    <w:rsid w:val="000C5DFF"/>
    <w:rsid w:val="000C5EE9"/>
    <w:rsid w:val="000C6CD7"/>
    <w:rsid w:val="000D0C7C"/>
    <w:rsid w:val="000D1054"/>
    <w:rsid w:val="000D15D9"/>
    <w:rsid w:val="000D45F0"/>
    <w:rsid w:val="000D48DE"/>
    <w:rsid w:val="000D4B2D"/>
    <w:rsid w:val="000D5210"/>
    <w:rsid w:val="000D677C"/>
    <w:rsid w:val="000D6D04"/>
    <w:rsid w:val="000D7AAC"/>
    <w:rsid w:val="000E037A"/>
    <w:rsid w:val="000E0AE4"/>
    <w:rsid w:val="000E0C60"/>
    <w:rsid w:val="000E16C6"/>
    <w:rsid w:val="000E1758"/>
    <w:rsid w:val="000E45DB"/>
    <w:rsid w:val="000E6912"/>
    <w:rsid w:val="000E74C4"/>
    <w:rsid w:val="000E77EB"/>
    <w:rsid w:val="000E7D2F"/>
    <w:rsid w:val="000F01FC"/>
    <w:rsid w:val="000F0A89"/>
    <w:rsid w:val="000F11BF"/>
    <w:rsid w:val="000F2A8A"/>
    <w:rsid w:val="000F3634"/>
    <w:rsid w:val="000F5999"/>
    <w:rsid w:val="000F59C9"/>
    <w:rsid w:val="000F5B3F"/>
    <w:rsid w:val="000F5F51"/>
    <w:rsid w:val="000F6322"/>
    <w:rsid w:val="000F63F9"/>
    <w:rsid w:val="000F6536"/>
    <w:rsid w:val="00100768"/>
    <w:rsid w:val="001009F2"/>
    <w:rsid w:val="00100DB2"/>
    <w:rsid w:val="00101033"/>
    <w:rsid w:val="00101298"/>
    <w:rsid w:val="001017BC"/>
    <w:rsid w:val="00101EE2"/>
    <w:rsid w:val="0010292D"/>
    <w:rsid w:val="00103271"/>
    <w:rsid w:val="001041F5"/>
    <w:rsid w:val="0010434A"/>
    <w:rsid w:val="00105876"/>
    <w:rsid w:val="00105C58"/>
    <w:rsid w:val="00107775"/>
    <w:rsid w:val="0010777C"/>
    <w:rsid w:val="00107842"/>
    <w:rsid w:val="001129A9"/>
    <w:rsid w:val="001139E2"/>
    <w:rsid w:val="0011405A"/>
    <w:rsid w:val="00114D8F"/>
    <w:rsid w:val="0011506F"/>
    <w:rsid w:val="00115843"/>
    <w:rsid w:val="00116482"/>
    <w:rsid w:val="0011751A"/>
    <w:rsid w:val="00123A09"/>
    <w:rsid w:val="001247F5"/>
    <w:rsid w:val="00124E5E"/>
    <w:rsid w:val="001252E4"/>
    <w:rsid w:val="00125BF0"/>
    <w:rsid w:val="00125C64"/>
    <w:rsid w:val="00127038"/>
    <w:rsid w:val="0012720B"/>
    <w:rsid w:val="001274BE"/>
    <w:rsid w:val="00127627"/>
    <w:rsid w:val="00127643"/>
    <w:rsid w:val="0012789B"/>
    <w:rsid w:val="001331E7"/>
    <w:rsid w:val="00133526"/>
    <w:rsid w:val="00133A35"/>
    <w:rsid w:val="00134382"/>
    <w:rsid w:val="00134FA0"/>
    <w:rsid w:val="001351E4"/>
    <w:rsid w:val="00135BCE"/>
    <w:rsid w:val="00140E00"/>
    <w:rsid w:val="001413F6"/>
    <w:rsid w:val="001421D3"/>
    <w:rsid w:val="00142A92"/>
    <w:rsid w:val="00142E4B"/>
    <w:rsid w:val="00143520"/>
    <w:rsid w:val="0014431E"/>
    <w:rsid w:val="001452FC"/>
    <w:rsid w:val="001456BE"/>
    <w:rsid w:val="00145E91"/>
    <w:rsid w:val="00146585"/>
    <w:rsid w:val="0014702C"/>
    <w:rsid w:val="00147156"/>
    <w:rsid w:val="001473A8"/>
    <w:rsid w:val="00151389"/>
    <w:rsid w:val="00151AF1"/>
    <w:rsid w:val="001547E4"/>
    <w:rsid w:val="001601FC"/>
    <w:rsid w:val="001605BA"/>
    <w:rsid w:val="00160E06"/>
    <w:rsid w:val="00161032"/>
    <w:rsid w:val="00161892"/>
    <w:rsid w:val="0016227C"/>
    <w:rsid w:val="00163AED"/>
    <w:rsid w:val="0016404D"/>
    <w:rsid w:val="001642C1"/>
    <w:rsid w:val="001646AF"/>
    <w:rsid w:val="00164BA2"/>
    <w:rsid w:val="00166824"/>
    <w:rsid w:val="001703E8"/>
    <w:rsid w:val="00170A79"/>
    <w:rsid w:val="001713C0"/>
    <w:rsid w:val="00171E11"/>
    <w:rsid w:val="00172B18"/>
    <w:rsid w:val="0017400C"/>
    <w:rsid w:val="001741B5"/>
    <w:rsid w:val="0017466F"/>
    <w:rsid w:val="0017469B"/>
    <w:rsid w:val="00174F64"/>
    <w:rsid w:val="001759DE"/>
    <w:rsid w:val="00176584"/>
    <w:rsid w:val="00181467"/>
    <w:rsid w:val="00181D76"/>
    <w:rsid w:val="0018245E"/>
    <w:rsid w:val="00184211"/>
    <w:rsid w:val="001870B4"/>
    <w:rsid w:val="001876CA"/>
    <w:rsid w:val="001879A1"/>
    <w:rsid w:val="00190F1D"/>
    <w:rsid w:val="00191A6F"/>
    <w:rsid w:val="00191CE0"/>
    <w:rsid w:val="001930DC"/>
    <w:rsid w:val="0019313E"/>
    <w:rsid w:val="001934A5"/>
    <w:rsid w:val="00193AFC"/>
    <w:rsid w:val="00193F1D"/>
    <w:rsid w:val="001945C6"/>
    <w:rsid w:val="00195574"/>
    <w:rsid w:val="00195E0F"/>
    <w:rsid w:val="001A040F"/>
    <w:rsid w:val="001A0B28"/>
    <w:rsid w:val="001A2388"/>
    <w:rsid w:val="001A271D"/>
    <w:rsid w:val="001A369E"/>
    <w:rsid w:val="001A3A19"/>
    <w:rsid w:val="001A69F6"/>
    <w:rsid w:val="001A7EAE"/>
    <w:rsid w:val="001B19F2"/>
    <w:rsid w:val="001B28E2"/>
    <w:rsid w:val="001B4CEF"/>
    <w:rsid w:val="001B4D66"/>
    <w:rsid w:val="001B5894"/>
    <w:rsid w:val="001B600E"/>
    <w:rsid w:val="001B7009"/>
    <w:rsid w:val="001B743D"/>
    <w:rsid w:val="001C02A6"/>
    <w:rsid w:val="001C02FD"/>
    <w:rsid w:val="001C16BD"/>
    <w:rsid w:val="001C21FF"/>
    <w:rsid w:val="001C22E2"/>
    <w:rsid w:val="001C3901"/>
    <w:rsid w:val="001C572F"/>
    <w:rsid w:val="001C5A38"/>
    <w:rsid w:val="001C6790"/>
    <w:rsid w:val="001C6913"/>
    <w:rsid w:val="001C73D2"/>
    <w:rsid w:val="001C7466"/>
    <w:rsid w:val="001C754D"/>
    <w:rsid w:val="001C7739"/>
    <w:rsid w:val="001D0552"/>
    <w:rsid w:val="001D0F4C"/>
    <w:rsid w:val="001D11C7"/>
    <w:rsid w:val="001D16F0"/>
    <w:rsid w:val="001D1F92"/>
    <w:rsid w:val="001D209F"/>
    <w:rsid w:val="001D3C10"/>
    <w:rsid w:val="001D5322"/>
    <w:rsid w:val="001D5D8B"/>
    <w:rsid w:val="001D6073"/>
    <w:rsid w:val="001D643A"/>
    <w:rsid w:val="001D708C"/>
    <w:rsid w:val="001D7A36"/>
    <w:rsid w:val="001D7CA8"/>
    <w:rsid w:val="001E0E60"/>
    <w:rsid w:val="001E10B7"/>
    <w:rsid w:val="001E1DB7"/>
    <w:rsid w:val="001E2409"/>
    <w:rsid w:val="001E2745"/>
    <w:rsid w:val="001E3671"/>
    <w:rsid w:val="001E3F29"/>
    <w:rsid w:val="001E4C14"/>
    <w:rsid w:val="001E4F45"/>
    <w:rsid w:val="001E6923"/>
    <w:rsid w:val="001E6B3A"/>
    <w:rsid w:val="001F07D3"/>
    <w:rsid w:val="001F1185"/>
    <w:rsid w:val="001F130A"/>
    <w:rsid w:val="001F2029"/>
    <w:rsid w:val="001F26AB"/>
    <w:rsid w:val="001F2B80"/>
    <w:rsid w:val="001F35CF"/>
    <w:rsid w:val="001F416F"/>
    <w:rsid w:val="001F494A"/>
    <w:rsid w:val="001F5738"/>
    <w:rsid w:val="001F7495"/>
    <w:rsid w:val="001F77D4"/>
    <w:rsid w:val="0020106C"/>
    <w:rsid w:val="00201631"/>
    <w:rsid w:val="00201C5D"/>
    <w:rsid w:val="00202F4E"/>
    <w:rsid w:val="00203138"/>
    <w:rsid w:val="002032C6"/>
    <w:rsid w:val="002039DB"/>
    <w:rsid w:val="00204011"/>
    <w:rsid w:val="002040F6"/>
    <w:rsid w:val="002053BC"/>
    <w:rsid w:val="0020553F"/>
    <w:rsid w:val="002067E7"/>
    <w:rsid w:val="00206867"/>
    <w:rsid w:val="00206D1A"/>
    <w:rsid w:val="00207E28"/>
    <w:rsid w:val="00210B7C"/>
    <w:rsid w:val="00211F0A"/>
    <w:rsid w:val="00212033"/>
    <w:rsid w:val="00213CCC"/>
    <w:rsid w:val="002147AF"/>
    <w:rsid w:val="00215F5F"/>
    <w:rsid w:val="0021662C"/>
    <w:rsid w:val="00216962"/>
    <w:rsid w:val="00216ECF"/>
    <w:rsid w:val="002174F2"/>
    <w:rsid w:val="002176B8"/>
    <w:rsid w:val="002200E0"/>
    <w:rsid w:val="0022035C"/>
    <w:rsid w:val="00221422"/>
    <w:rsid w:val="00221503"/>
    <w:rsid w:val="00222081"/>
    <w:rsid w:val="00222FF3"/>
    <w:rsid w:val="00224417"/>
    <w:rsid w:val="00225188"/>
    <w:rsid w:val="0022549B"/>
    <w:rsid w:val="00225C88"/>
    <w:rsid w:val="0022695D"/>
    <w:rsid w:val="00227596"/>
    <w:rsid w:val="00227656"/>
    <w:rsid w:val="002306CF"/>
    <w:rsid w:val="00230E75"/>
    <w:rsid w:val="00231F13"/>
    <w:rsid w:val="00232AD8"/>
    <w:rsid w:val="00232D1C"/>
    <w:rsid w:val="00233A24"/>
    <w:rsid w:val="00233B4E"/>
    <w:rsid w:val="00233CE2"/>
    <w:rsid w:val="002340BD"/>
    <w:rsid w:val="00234633"/>
    <w:rsid w:val="0023616A"/>
    <w:rsid w:val="002375EB"/>
    <w:rsid w:val="002404D6"/>
    <w:rsid w:val="00241177"/>
    <w:rsid w:val="00241AB4"/>
    <w:rsid w:val="00243C53"/>
    <w:rsid w:val="002440FB"/>
    <w:rsid w:val="0024486B"/>
    <w:rsid w:val="00244EC3"/>
    <w:rsid w:val="00245D84"/>
    <w:rsid w:val="00245FE1"/>
    <w:rsid w:val="00246A5E"/>
    <w:rsid w:val="00250D33"/>
    <w:rsid w:val="00250D3D"/>
    <w:rsid w:val="00252888"/>
    <w:rsid w:val="002529C6"/>
    <w:rsid w:val="00254484"/>
    <w:rsid w:val="00254B0E"/>
    <w:rsid w:val="00254B81"/>
    <w:rsid w:val="0025549F"/>
    <w:rsid w:val="0025579E"/>
    <w:rsid w:val="002557C0"/>
    <w:rsid w:val="002559C4"/>
    <w:rsid w:val="00255C83"/>
    <w:rsid w:val="00256137"/>
    <w:rsid w:val="0025651A"/>
    <w:rsid w:val="002567ED"/>
    <w:rsid w:val="002568A5"/>
    <w:rsid w:val="002570B6"/>
    <w:rsid w:val="0025745A"/>
    <w:rsid w:val="002616D6"/>
    <w:rsid w:val="00261B57"/>
    <w:rsid w:val="0026202C"/>
    <w:rsid w:val="00262CE2"/>
    <w:rsid w:val="00262E46"/>
    <w:rsid w:val="00263760"/>
    <w:rsid w:val="00263DFD"/>
    <w:rsid w:val="00265B28"/>
    <w:rsid w:val="002660A5"/>
    <w:rsid w:val="0026655E"/>
    <w:rsid w:val="00267181"/>
    <w:rsid w:val="002702CC"/>
    <w:rsid w:val="002707A0"/>
    <w:rsid w:val="00270EFD"/>
    <w:rsid w:val="00272A09"/>
    <w:rsid w:val="00272C1B"/>
    <w:rsid w:val="00274C4C"/>
    <w:rsid w:val="00275862"/>
    <w:rsid w:val="00275C15"/>
    <w:rsid w:val="0027617E"/>
    <w:rsid w:val="00276F29"/>
    <w:rsid w:val="0028001E"/>
    <w:rsid w:val="002802D2"/>
    <w:rsid w:val="00280496"/>
    <w:rsid w:val="00280D3F"/>
    <w:rsid w:val="002818B7"/>
    <w:rsid w:val="0028272A"/>
    <w:rsid w:val="00282D72"/>
    <w:rsid w:val="0028387D"/>
    <w:rsid w:val="002838A5"/>
    <w:rsid w:val="00283F6C"/>
    <w:rsid w:val="00284051"/>
    <w:rsid w:val="002844FB"/>
    <w:rsid w:val="00284899"/>
    <w:rsid w:val="00284BBB"/>
    <w:rsid w:val="0028663A"/>
    <w:rsid w:val="0028747A"/>
    <w:rsid w:val="002874E0"/>
    <w:rsid w:val="002903BD"/>
    <w:rsid w:val="00290A38"/>
    <w:rsid w:val="00290E5E"/>
    <w:rsid w:val="00292513"/>
    <w:rsid w:val="0029334A"/>
    <w:rsid w:val="00293F04"/>
    <w:rsid w:val="002948EB"/>
    <w:rsid w:val="00294C67"/>
    <w:rsid w:val="00294D74"/>
    <w:rsid w:val="00295D2C"/>
    <w:rsid w:val="00297B7E"/>
    <w:rsid w:val="00297D04"/>
    <w:rsid w:val="002A0C0C"/>
    <w:rsid w:val="002A12C7"/>
    <w:rsid w:val="002A2B4F"/>
    <w:rsid w:val="002A31FE"/>
    <w:rsid w:val="002A38B7"/>
    <w:rsid w:val="002A3BEE"/>
    <w:rsid w:val="002A4B48"/>
    <w:rsid w:val="002A4D19"/>
    <w:rsid w:val="002A54A1"/>
    <w:rsid w:val="002A6909"/>
    <w:rsid w:val="002A7FD4"/>
    <w:rsid w:val="002B079A"/>
    <w:rsid w:val="002B1B7B"/>
    <w:rsid w:val="002B3110"/>
    <w:rsid w:val="002B35D7"/>
    <w:rsid w:val="002B3691"/>
    <w:rsid w:val="002B3751"/>
    <w:rsid w:val="002B3862"/>
    <w:rsid w:val="002B5881"/>
    <w:rsid w:val="002B612A"/>
    <w:rsid w:val="002B6295"/>
    <w:rsid w:val="002B65AD"/>
    <w:rsid w:val="002B695A"/>
    <w:rsid w:val="002C09E5"/>
    <w:rsid w:val="002C198B"/>
    <w:rsid w:val="002C1EDA"/>
    <w:rsid w:val="002C2037"/>
    <w:rsid w:val="002C23A2"/>
    <w:rsid w:val="002C43EE"/>
    <w:rsid w:val="002C4527"/>
    <w:rsid w:val="002C4B69"/>
    <w:rsid w:val="002C6267"/>
    <w:rsid w:val="002C6ED0"/>
    <w:rsid w:val="002C6EE4"/>
    <w:rsid w:val="002D053F"/>
    <w:rsid w:val="002D11EC"/>
    <w:rsid w:val="002D17AD"/>
    <w:rsid w:val="002D1876"/>
    <w:rsid w:val="002D2FE6"/>
    <w:rsid w:val="002D460D"/>
    <w:rsid w:val="002D5289"/>
    <w:rsid w:val="002D5781"/>
    <w:rsid w:val="002D597B"/>
    <w:rsid w:val="002D7071"/>
    <w:rsid w:val="002D7A17"/>
    <w:rsid w:val="002D7F53"/>
    <w:rsid w:val="002E0479"/>
    <w:rsid w:val="002E2B3C"/>
    <w:rsid w:val="002E3511"/>
    <w:rsid w:val="002E4C29"/>
    <w:rsid w:val="002E53F9"/>
    <w:rsid w:val="002E5425"/>
    <w:rsid w:val="002E67F5"/>
    <w:rsid w:val="002E789D"/>
    <w:rsid w:val="002E7C3F"/>
    <w:rsid w:val="002E7E30"/>
    <w:rsid w:val="002E7E7C"/>
    <w:rsid w:val="002F0632"/>
    <w:rsid w:val="002F1563"/>
    <w:rsid w:val="002F1656"/>
    <w:rsid w:val="002F16E4"/>
    <w:rsid w:val="002F1BE2"/>
    <w:rsid w:val="002F26F5"/>
    <w:rsid w:val="002F2965"/>
    <w:rsid w:val="002F36C5"/>
    <w:rsid w:val="002F436B"/>
    <w:rsid w:val="002F5187"/>
    <w:rsid w:val="002F59DE"/>
    <w:rsid w:val="002F6567"/>
    <w:rsid w:val="002F7821"/>
    <w:rsid w:val="002F7923"/>
    <w:rsid w:val="00300059"/>
    <w:rsid w:val="00300E70"/>
    <w:rsid w:val="0030102E"/>
    <w:rsid w:val="00301182"/>
    <w:rsid w:val="00301430"/>
    <w:rsid w:val="00303CE8"/>
    <w:rsid w:val="00305807"/>
    <w:rsid w:val="00305A1A"/>
    <w:rsid w:val="00306D3E"/>
    <w:rsid w:val="003075C6"/>
    <w:rsid w:val="00310983"/>
    <w:rsid w:val="00314F64"/>
    <w:rsid w:val="003150DB"/>
    <w:rsid w:val="00315341"/>
    <w:rsid w:val="00315E45"/>
    <w:rsid w:val="00316F7E"/>
    <w:rsid w:val="00317BAD"/>
    <w:rsid w:val="0032034B"/>
    <w:rsid w:val="00320571"/>
    <w:rsid w:val="00322275"/>
    <w:rsid w:val="00322FEA"/>
    <w:rsid w:val="00324667"/>
    <w:rsid w:val="00324BF2"/>
    <w:rsid w:val="003253AC"/>
    <w:rsid w:val="00326AE2"/>
    <w:rsid w:val="00331850"/>
    <w:rsid w:val="00331903"/>
    <w:rsid w:val="0033245F"/>
    <w:rsid w:val="00332C7E"/>
    <w:rsid w:val="00333ED3"/>
    <w:rsid w:val="00334737"/>
    <w:rsid w:val="00334992"/>
    <w:rsid w:val="00334A37"/>
    <w:rsid w:val="00334C60"/>
    <w:rsid w:val="00334CFD"/>
    <w:rsid w:val="00335C20"/>
    <w:rsid w:val="00336CB1"/>
    <w:rsid w:val="00337256"/>
    <w:rsid w:val="00340F65"/>
    <w:rsid w:val="00345F2D"/>
    <w:rsid w:val="003467F7"/>
    <w:rsid w:val="003504DB"/>
    <w:rsid w:val="00352204"/>
    <w:rsid w:val="0035286C"/>
    <w:rsid w:val="00353B0F"/>
    <w:rsid w:val="00353F48"/>
    <w:rsid w:val="00354D8C"/>
    <w:rsid w:val="0035598B"/>
    <w:rsid w:val="00355F3C"/>
    <w:rsid w:val="0035715E"/>
    <w:rsid w:val="003576E9"/>
    <w:rsid w:val="0036076D"/>
    <w:rsid w:val="0036086C"/>
    <w:rsid w:val="00360943"/>
    <w:rsid w:val="00360D36"/>
    <w:rsid w:val="00361950"/>
    <w:rsid w:val="0036207A"/>
    <w:rsid w:val="003621ED"/>
    <w:rsid w:val="003629D3"/>
    <w:rsid w:val="00362C28"/>
    <w:rsid w:val="00362DF7"/>
    <w:rsid w:val="00364502"/>
    <w:rsid w:val="00365361"/>
    <w:rsid w:val="0036556E"/>
    <w:rsid w:val="00370A38"/>
    <w:rsid w:val="00370DF3"/>
    <w:rsid w:val="00370E6C"/>
    <w:rsid w:val="00370FAE"/>
    <w:rsid w:val="0037120F"/>
    <w:rsid w:val="003720DB"/>
    <w:rsid w:val="0037317A"/>
    <w:rsid w:val="00374E3F"/>
    <w:rsid w:val="00375810"/>
    <w:rsid w:val="0037601E"/>
    <w:rsid w:val="00377D24"/>
    <w:rsid w:val="00380B5F"/>
    <w:rsid w:val="0038116A"/>
    <w:rsid w:val="0038283D"/>
    <w:rsid w:val="00382F70"/>
    <w:rsid w:val="0038454C"/>
    <w:rsid w:val="0038461B"/>
    <w:rsid w:val="00385072"/>
    <w:rsid w:val="00385223"/>
    <w:rsid w:val="0038561F"/>
    <w:rsid w:val="00385A3C"/>
    <w:rsid w:val="00385B03"/>
    <w:rsid w:val="00386DF6"/>
    <w:rsid w:val="00386EA0"/>
    <w:rsid w:val="0038713B"/>
    <w:rsid w:val="0038786E"/>
    <w:rsid w:val="00387A57"/>
    <w:rsid w:val="00387A98"/>
    <w:rsid w:val="0039001B"/>
    <w:rsid w:val="00390152"/>
    <w:rsid w:val="00390378"/>
    <w:rsid w:val="0039082A"/>
    <w:rsid w:val="0039120A"/>
    <w:rsid w:val="00391229"/>
    <w:rsid w:val="0039172A"/>
    <w:rsid w:val="00391924"/>
    <w:rsid w:val="00392A38"/>
    <w:rsid w:val="00392AC5"/>
    <w:rsid w:val="0039364C"/>
    <w:rsid w:val="00393C7E"/>
    <w:rsid w:val="00393FC5"/>
    <w:rsid w:val="0039577C"/>
    <w:rsid w:val="00395B3B"/>
    <w:rsid w:val="00395CCE"/>
    <w:rsid w:val="00395EFA"/>
    <w:rsid w:val="00397103"/>
    <w:rsid w:val="00397A14"/>
    <w:rsid w:val="00397CF8"/>
    <w:rsid w:val="00397E7A"/>
    <w:rsid w:val="003A0621"/>
    <w:rsid w:val="003A0BCB"/>
    <w:rsid w:val="003A0EEB"/>
    <w:rsid w:val="003A116C"/>
    <w:rsid w:val="003A1A59"/>
    <w:rsid w:val="003A1C27"/>
    <w:rsid w:val="003A1C77"/>
    <w:rsid w:val="003A2BB1"/>
    <w:rsid w:val="003A355D"/>
    <w:rsid w:val="003A3D03"/>
    <w:rsid w:val="003A3EE8"/>
    <w:rsid w:val="003A4E2C"/>
    <w:rsid w:val="003A5FAD"/>
    <w:rsid w:val="003A6A0C"/>
    <w:rsid w:val="003A7786"/>
    <w:rsid w:val="003B04B5"/>
    <w:rsid w:val="003B0675"/>
    <w:rsid w:val="003B06D9"/>
    <w:rsid w:val="003B08D2"/>
    <w:rsid w:val="003B08FB"/>
    <w:rsid w:val="003B0F0D"/>
    <w:rsid w:val="003B1E6C"/>
    <w:rsid w:val="003B215B"/>
    <w:rsid w:val="003B2AE3"/>
    <w:rsid w:val="003B3C9C"/>
    <w:rsid w:val="003B3DA8"/>
    <w:rsid w:val="003B41AF"/>
    <w:rsid w:val="003B5AC9"/>
    <w:rsid w:val="003B6EC7"/>
    <w:rsid w:val="003C111D"/>
    <w:rsid w:val="003C1F72"/>
    <w:rsid w:val="003C2507"/>
    <w:rsid w:val="003C25E9"/>
    <w:rsid w:val="003C2EDE"/>
    <w:rsid w:val="003C3B23"/>
    <w:rsid w:val="003C4F2A"/>
    <w:rsid w:val="003C7A07"/>
    <w:rsid w:val="003D1CEC"/>
    <w:rsid w:val="003D2FF6"/>
    <w:rsid w:val="003D36E0"/>
    <w:rsid w:val="003D37D6"/>
    <w:rsid w:val="003D3C9B"/>
    <w:rsid w:val="003D3FCD"/>
    <w:rsid w:val="003D4470"/>
    <w:rsid w:val="003D4CA4"/>
    <w:rsid w:val="003D621A"/>
    <w:rsid w:val="003D69F0"/>
    <w:rsid w:val="003D7B8C"/>
    <w:rsid w:val="003E2227"/>
    <w:rsid w:val="003E2DCE"/>
    <w:rsid w:val="003E3279"/>
    <w:rsid w:val="003E3965"/>
    <w:rsid w:val="003E3C45"/>
    <w:rsid w:val="003E408D"/>
    <w:rsid w:val="003E42B2"/>
    <w:rsid w:val="003E6431"/>
    <w:rsid w:val="003E7090"/>
    <w:rsid w:val="003E70C9"/>
    <w:rsid w:val="003E7B2B"/>
    <w:rsid w:val="003E7B37"/>
    <w:rsid w:val="003E7EA7"/>
    <w:rsid w:val="003F0920"/>
    <w:rsid w:val="003F095E"/>
    <w:rsid w:val="003F35E4"/>
    <w:rsid w:val="003F3956"/>
    <w:rsid w:val="003F3A63"/>
    <w:rsid w:val="003F4609"/>
    <w:rsid w:val="003F485A"/>
    <w:rsid w:val="003F4BC7"/>
    <w:rsid w:val="003F54D9"/>
    <w:rsid w:val="003F5961"/>
    <w:rsid w:val="003F5987"/>
    <w:rsid w:val="003F658C"/>
    <w:rsid w:val="003F70EA"/>
    <w:rsid w:val="003F7EA8"/>
    <w:rsid w:val="00400FEC"/>
    <w:rsid w:val="00401105"/>
    <w:rsid w:val="0040178B"/>
    <w:rsid w:val="00402B2D"/>
    <w:rsid w:val="00402D87"/>
    <w:rsid w:val="00402E4D"/>
    <w:rsid w:val="004035DC"/>
    <w:rsid w:val="00403919"/>
    <w:rsid w:val="0040393E"/>
    <w:rsid w:val="00403CB3"/>
    <w:rsid w:val="00404710"/>
    <w:rsid w:val="004048C8"/>
    <w:rsid w:val="0040589E"/>
    <w:rsid w:val="00405BC2"/>
    <w:rsid w:val="00406B62"/>
    <w:rsid w:val="004075DC"/>
    <w:rsid w:val="00411674"/>
    <w:rsid w:val="004119D9"/>
    <w:rsid w:val="00412259"/>
    <w:rsid w:val="00413DFC"/>
    <w:rsid w:val="00413E44"/>
    <w:rsid w:val="00413FDF"/>
    <w:rsid w:val="00414A3F"/>
    <w:rsid w:val="00415D23"/>
    <w:rsid w:val="004160F9"/>
    <w:rsid w:val="00416C44"/>
    <w:rsid w:val="00417F9B"/>
    <w:rsid w:val="004201E2"/>
    <w:rsid w:val="004221F7"/>
    <w:rsid w:val="0042223E"/>
    <w:rsid w:val="0042272D"/>
    <w:rsid w:val="00422924"/>
    <w:rsid w:val="00423370"/>
    <w:rsid w:val="004242A1"/>
    <w:rsid w:val="004247AC"/>
    <w:rsid w:val="00424DDB"/>
    <w:rsid w:val="00425010"/>
    <w:rsid w:val="004250D6"/>
    <w:rsid w:val="00425A39"/>
    <w:rsid w:val="00425BFD"/>
    <w:rsid w:val="00426F6A"/>
    <w:rsid w:val="00427321"/>
    <w:rsid w:val="00427326"/>
    <w:rsid w:val="004276BB"/>
    <w:rsid w:val="00427914"/>
    <w:rsid w:val="004302E8"/>
    <w:rsid w:val="0043105D"/>
    <w:rsid w:val="0043201D"/>
    <w:rsid w:val="004320F8"/>
    <w:rsid w:val="00433342"/>
    <w:rsid w:val="00434AD1"/>
    <w:rsid w:val="00435756"/>
    <w:rsid w:val="00435762"/>
    <w:rsid w:val="00436AAD"/>
    <w:rsid w:val="0043700C"/>
    <w:rsid w:val="004374AE"/>
    <w:rsid w:val="0044070A"/>
    <w:rsid w:val="00441417"/>
    <w:rsid w:val="0044254F"/>
    <w:rsid w:val="00442BC9"/>
    <w:rsid w:val="00443766"/>
    <w:rsid w:val="00444254"/>
    <w:rsid w:val="004451C4"/>
    <w:rsid w:val="00445B0D"/>
    <w:rsid w:val="00445D50"/>
    <w:rsid w:val="004465A4"/>
    <w:rsid w:val="00446C31"/>
    <w:rsid w:val="00446E28"/>
    <w:rsid w:val="0044796F"/>
    <w:rsid w:val="00447C81"/>
    <w:rsid w:val="00447F93"/>
    <w:rsid w:val="0045011A"/>
    <w:rsid w:val="00450267"/>
    <w:rsid w:val="00450DBB"/>
    <w:rsid w:val="004510E5"/>
    <w:rsid w:val="00451616"/>
    <w:rsid w:val="0045265B"/>
    <w:rsid w:val="00454AA6"/>
    <w:rsid w:val="00455246"/>
    <w:rsid w:val="0045661F"/>
    <w:rsid w:val="0045696D"/>
    <w:rsid w:val="00456DDD"/>
    <w:rsid w:val="004573DA"/>
    <w:rsid w:val="00457554"/>
    <w:rsid w:val="00457F77"/>
    <w:rsid w:val="00460728"/>
    <w:rsid w:val="004616D5"/>
    <w:rsid w:val="004623B2"/>
    <w:rsid w:val="0046250A"/>
    <w:rsid w:val="00462A5B"/>
    <w:rsid w:val="00462A74"/>
    <w:rsid w:val="0046307F"/>
    <w:rsid w:val="004657A3"/>
    <w:rsid w:val="00466207"/>
    <w:rsid w:val="00466D24"/>
    <w:rsid w:val="00466FAF"/>
    <w:rsid w:val="00467B10"/>
    <w:rsid w:val="00467B64"/>
    <w:rsid w:val="0047030F"/>
    <w:rsid w:val="004706CA"/>
    <w:rsid w:val="00470D9A"/>
    <w:rsid w:val="004715A1"/>
    <w:rsid w:val="00471636"/>
    <w:rsid w:val="004716D8"/>
    <w:rsid w:val="00471AF7"/>
    <w:rsid w:val="00472ED8"/>
    <w:rsid w:val="00473160"/>
    <w:rsid w:val="00473258"/>
    <w:rsid w:val="00475255"/>
    <w:rsid w:val="004759DA"/>
    <w:rsid w:val="00475D3E"/>
    <w:rsid w:val="004760B8"/>
    <w:rsid w:val="00477E2A"/>
    <w:rsid w:val="00480BBB"/>
    <w:rsid w:val="00481ADA"/>
    <w:rsid w:val="00481B7A"/>
    <w:rsid w:val="004823CA"/>
    <w:rsid w:val="00482C25"/>
    <w:rsid w:val="00482F37"/>
    <w:rsid w:val="00483095"/>
    <w:rsid w:val="004839B9"/>
    <w:rsid w:val="00483ACA"/>
    <w:rsid w:val="00484352"/>
    <w:rsid w:val="004845C4"/>
    <w:rsid w:val="004850C0"/>
    <w:rsid w:val="004855E0"/>
    <w:rsid w:val="004862AA"/>
    <w:rsid w:val="00487C2A"/>
    <w:rsid w:val="00487E9D"/>
    <w:rsid w:val="0049056A"/>
    <w:rsid w:val="00490D8E"/>
    <w:rsid w:val="00491352"/>
    <w:rsid w:val="0049145A"/>
    <w:rsid w:val="004914FF"/>
    <w:rsid w:val="00491F0C"/>
    <w:rsid w:val="0049208F"/>
    <w:rsid w:val="0049251D"/>
    <w:rsid w:val="004927CB"/>
    <w:rsid w:val="0049289A"/>
    <w:rsid w:val="00494A00"/>
    <w:rsid w:val="0049637A"/>
    <w:rsid w:val="00496E96"/>
    <w:rsid w:val="00496F33"/>
    <w:rsid w:val="004A00C8"/>
    <w:rsid w:val="004A1744"/>
    <w:rsid w:val="004A230E"/>
    <w:rsid w:val="004A289E"/>
    <w:rsid w:val="004A2C6D"/>
    <w:rsid w:val="004A406C"/>
    <w:rsid w:val="004A4852"/>
    <w:rsid w:val="004A4DD6"/>
    <w:rsid w:val="004A4FC5"/>
    <w:rsid w:val="004A5B13"/>
    <w:rsid w:val="004A6177"/>
    <w:rsid w:val="004A63AE"/>
    <w:rsid w:val="004A68C9"/>
    <w:rsid w:val="004B082A"/>
    <w:rsid w:val="004B1BDF"/>
    <w:rsid w:val="004B1C5D"/>
    <w:rsid w:val="004B1D33"/>
    <w:rsid w:val="004B1DCC"/>
    <w:rsid w:val="004B298A"/>
    <w:rsid w:val="004B2A66"/>
    <w:rsid w:val="004B3648"/>
    <w:rsid w:val="004B3976"/>
    <w:rsid w:val="004B4324"/>
    <w:rsid w:val="004B4D43"/>
    <w:rsid w:val="004B7D87"/>
    <w:rsid w:val="004C0CED"/>
    <w:rsid w:val="004C10A2"/>
    <w:rsid w:val="004C16BE"/>
    <w:rsid w:val="004C28B9"/>
    <w:rsid w:val="004C42E3"/>
    <w:rsid w:val="004C459A"/>
    <w:rsid w:val="004C7780"/>
    <w:rsid w:val="004C7B8A"/>
    <w:rsid w:val="004C7FBD"/>
    <w:rsid w:val="004D11EF"/>
    <w:rsid w:val="004D1353"/>
    <w:rsid w:val="004D1874"/>
    <w:rsid w:val="004D1B04"/>
    <w:rsid w:val="004D1B1F"/>
    <w:rsid w:val="004D2827"/>
    <w:rsid w:val="004D3774"/>
    <w:rsid w:val="004D4612"/>
    <w:rsid w:val="004D4FBB"/>
    <w:rsid w:val="004D5363"/>
    <w:rsid w:val="004D5629"/>
    <w:rsid w:val="004D577A"/>
    <w:rsid w:val="004D60F6"/>
    <w:rsid w:val="004E01A4"/>
    <w:rsid w:val="004E0844"/>
    <w:rsid w:val="004E0A3D"/>
    <w:rsid w:val="004E0F76"/>
    <w:rsid w:val="004E1B69"/>
    <w:rsid w:val="004E1FFF"/>
    <w:rsid w:val="004E31B6"/>
    <w:rsid w:val="004E3B22"/>
    <w:rsid w:val="004E3B43"/>
    <w:rsid w:val="004E4110"/>
    <w:rsid w:val="004E4AC6"/>
    <w:rsid w:val="004E4AE8"/>
    <w:rsid w:val="004E4F79"/>
    <w:rsid w:val="004E5527"/>
    <w:rsid w:val="004E58F7"/>
    <w:rsid w:val="004E5FFE"/>
    <w:rsid w:val="004E6775"/>
    <w:rsid w:val="004E67C0"/>
    <w:rsid w:val="004E697B"/>
    <w:rsid w:val="004E6AE3"/>
    <w:rsid w:val="004E7357"/>
    <w:rsid w:val="004E738F"/>
    <w:rsid w:val="004E758B"/>
    <w:rsid w:val="004E7757"/>
    <w:rsid w:val="004E7E06"/>
    <w:rsid w:val="004F0CDE"/>
    <w:rsid w:val="004F1110"/>
    <w:rsid w:val="004F11AF"/>
    <w:rsid w:val="004F14DF"/>
    <w:rsid w:val="004F16C9"/>
    <w:rsid w:val="004F2979"/>
    <w:rsid w:val="004F299D"/>
    <w:rsid w:val="004F3307"/>
    <w:rsid w:val="004F331D"/>
    <w:rsid w:val="004F382C"/>
    <w:rsid w:val="004F3CA7"/>
    <w:rsid w:val="004F48B3"/>
    <w:rsid w:val="004F4AC4"/>
    <w:rsid w:val="004F5F11"/>
    <w:rsid w:val="004F6786"/>
    <w:rsid w:val="004F6B9B"/>
    <w:rsid w:val="004F76BB"/>
    <w:rsid w:val="004F7863"/>
    <w:rsid w:val="00502B63"/>
    <w:rsid w:val="00504B53"/>
    <w:rsid w:val="00505030"/>
    <w:rsid w:val="0050573E"/>
    <w:rsid w:val="00510E40"/>
    <w:rsid w:val="00512B26"/>
    <w:rsid w:val="00512F3E"/>
    <w:rsid w:val="0051337B"/>
    <w:rsid w:val="005133FA"/>
    <w:rsid w:val="00513C8B"/>
    <w:rsid w:val="0051466E"/>
    <w:rsid w:val="00517498"/>
    <w:rsid w:val="00517B76"/>
    <w:rsid w:val="00517CB5"/>
    <w:rsid w:val="00517E54"/>
    <w:rsid w:val="00520939"/>
    <w:rsid w:val="00520DF7"/>
    <w:rsid w:val="00521580"/>
    <w:rsid w:val="005230F7"/>
    <w:rsid w:val="005238EA"/>
    <w:rsid w:val="00523FFF"/>
    <w:rsid w:val="00524613"/>
    <w:rsid w:val="005252CD"/>
    <w:rsid w:val="00525EAE"/>
    <w:rsid w:val="005262AE"/>
    <w:rsid w:val="005262C4"/>
    <w:rsid w:val="00526E37"/>
    <w:rsid w:val="005300C3"/>
    <w:rsid w:val="00530F5F"/>
    <w:rsid w:val="00532C6F"/>
    <w:rsid w:val="00533092"/>
    <w:rsid w:val="005341B5"/>
    <w:rsid w:val="0053472C"/>
    <w:rsid w:val="00535089"/>
    <w:rsid w:val="00535469"/>
    <w:rsid w:val="00535FB6"/>
    <w:rsid w:val="005375DA"/>
    <w:rsid w:val="0053777C"/>
    <w:rsid w:val="00537848"/>
    <w:rsid w:val="005400E1"/>
    <w:rsid w:val="00540A11"/>
    <w:rsid w:val="005410F1"/>
    <w:rsid w:val="00541472"/>
    <w:rsid w:val="00541537"/>
    <w:rsid w:val="00542095"/>
    <w:rsid w:val="005424FA"/>
    <w:rsid w:val="00543927"/>
    <w:rsid w:val="00544075"/>
    <w:rsid w:val="00544163"/>
    <w:rsid w:val="00544BDE"/>
    <w:rsid w:val="00545C47"/>
    <w:rsid w:val="0054750A"/>
    <w:rsid w:val="00547545"/>
    <w:rsid w:val="00547D20"/>
    <w:rsid w:val="0055018C"/>
    <w:rsid w:val="0055048C"/>
    <w:rsid w:val="005538AD"/>
    <w:rsid w:val="00553DC1"/>
    <w:rsid w:val="0055430F"/>
    <w:rsid w:val="00555E09"/>
    <w:rsid w:val="00555F18"/>
    <w:rsid w:val="005577AE"/>
    <w:rsid w:val="005606E6"/>
    <w:rsid w:val="005608B8"/>
    <w:rsid w:val="005609AA"/>
    <w:rsid w:val="00560D07"/>
    <w:rsid w:val="00561570"/>
    <w:rsid w:val="005615B3"/>
    <w:rsid w:val="0056253C"/>
    <w:rsid w:val="0056282E"/>
    <w:rsid w:val="00562F6C"/>
    <w:rsid w:val="00562FEB"/>
    <w:rsid w:val="005630F2"/>
    <w:rsid w:val="0056393C"/>
    <w:rsid w:val="0056427A"/>
    <w:rsid w:val="00564537"/>
    <w:rsid w:val="00565785"/>
    <w:rsid w:val="0056658D"/>
    <w:rsid w:val="00566AAD"/>
    <w:rsid w:val="00566B01"/>
    <w:rsid w:val="00566CB3"/>
    <w:rsid w:val="00567B09"/>
    <w:rsid w:val="00567E38"/>
    <w:rsid w:val="005702C6"/>
    <w:rsid w:val="0057039F"/>
    <w:rsid w:val="005739D5"/>
    <w:rsid w:val="005742AB"/>
    <w:rsid w:val="005745A7"/>
    <w:rsid w:val="005749CC"/>
    <w:rsid w:val="00575475"/>
    <w:rsid w:val="0057640E"/>
    <w:rsid w:val="0057716E"/>
    <w:rsid w:val="00577756"/>
    <w:rsid w:val="00577CA8"/>
    <w:rsid w:val="00580130"/>
    <w:rsid w:val="00580A47"/>
    <w:rsid w:val="00582330"/>
    <w:rsid w:val="00582F02"/>
    <w:rsid w:val="00583FD1"/>
    <w:rsid w:val="0058408E"/>
    <w:rsid w:val="00584EBC"/>
    <w:rsid w:val="00585CF0"/>
    <w:rsid w:val="00585DE0"/>
    <w:rsid w:val="00590009"/>
    <w:rsid w:val="005909ED"/>
    <w:rsid w:val="00590A70"/>
    <w:rsid w:val="005914B7"/>
    <w:rsid w:val="00591F7E"/>
    <w:rsid w:val="00592111"/>
    <w:rsid w:val="00592128"/>
    <w:rsid w:val="00592493"/>
    <w:rsid w:val="00593811"/>
    <w:rsid w:val="00595D52"/>
    <w:rsid w:val="005963A3"/>
    <w:rsid w:val="005965CC"/>
    <w:rsid w:val="005A12E4"/>
    <w:rsid w:val="005A12E7"/>
    <w:rsid w:val="005A1531"/>
    <w:rsid w:val="005A18A3"/>
    <w:rsid w:val="005A2860"/>
    <w:rsid w:val="005A2DE6"/>
    <w:rsid w:val="005A3482"/>
    <w:rsid w:val="005A3745"/>
    <w:rsid w:val="005A432C"/>
    <w:rsid w:val="005A5697"/>
    <w:rsid w:val="005A5A4B"/>
    <w:rsid w:val="005A5C84"/>
    <w:rsid w:val="005A5CCA"/>
    <w:rsid w:val="005A76AF"/>
    <w:rsid w:val="005A7AEC"/>
    <w:rsid w:val="005A7BC9"/>
    <w:rsid w:val="005B1057"/>
    <w:rsid w:val="005B121E"/>
    <w:rsid w:val="005B1C7B"/>
    <w:rsid w:val="005B1E17"/>
    <w:rsid w:val="005B2631"/>
    <w:rsid w:val="005B29E8"/>
    <w:rsid w:val="005B3440"/>
    <w:rsid w:val="005B4013"/>
    <w:rsid w:val="005B4501"/>
    <w:rsid w:val="005B6F45"/>
    <w:rsid w:val="005B6F70"/>
    <w:rsid w:val="005B6FEE"/>
    <w:rsid w:val="005B7F67"/>
    <w:rsid w:val="005C0E70"/>
    <w:rsid w:val="005C0F4E"/>
    <w:rsid w:val="005C2A9B"/>
    <w:rsid w:val="005C330E"/>
    <w:rsid w:val="005C3493"/>
    <w:rsid w:val="005C412D"/>
    <w:rsid w:val="005C4591"/>
    <w:rsid w:val="005C492A"/>
    <w:rsid w:val="005C50CF"/>
    <w:rsid w:val="005C5641"/>
    <w:rsid w:val="005C62D7"/>
    <w:rsid w:val="005C63E3"/>
    <w:rsid w:val="005C69D3"/>
    <w:rsid w:val="005C7200"/>
    <w:rsid w:val="005C7667"/>
    <w:rsid w:val="005C795B"/>
    <w:rsid w:val="005D0797"/>
    <w:rsid w:val="005D0C9F"/>
    <w:rsid w:val="005D0CA7"/>
    <w:rsid w:val="005D13BF"/>
    <w:rsid w:val="005D1A49"/>
    <w:rsid w:val="005D2521"/>
    <w:rsid w:val="005D2623"/>
    <w:rsid w:val="005D34C8"/>
    <w:rsid w:val="005D493B"/>
    <w:rsid w:val="005D5C84"/>
    <w:rsid w:val="005D61E3"/>
    <w:rsid w:val="005D64D5"/>
    <w:rsid w:val="005D6BC6"/>
    <w:rsid w:val="005E0754"/>
    <w:rsid w:val="005E09B5"/>
    <w:rsid w:val="005E0DD4"/>
    <w:rsid w:val="005E13E6"/>
    <w:rsid w:val="005E2147"/>
    <w:rsid w:val="005E238D"/>
    <w:rsid w:val="005E3624"/>
    <w:rsid w:val="005E4272"/>
    <w:rsid w:val="005E56FB"/>
    <w:rsid w:val="005E5DAD"/>
    <w:rsid w:val="005E676A"/>
    <w:rsid w:val="005E6B4A"/>
    <w:rsid w:val="005E786E"/>
    <w:rsid w:val="005F11BC"/>
    <w:rsid w:val="005F17EB"/>
    <w:rsid w:val="005F1957"/>
    <w:rsid w:val="005F1D3B"/>
    <w:rsid w:val="005F23FC"/>
    <w:rsid w:val="005F37D9"/>
    <w:rsid w:val="005F4553"/>
    <w:rsid w:val="005F527D"/>
    <w:rsid w:val="005F5A1D"/>
    <w:rsid w:val="005F5A5A"/>
    <w:rsid w:val="005F5CB6"/>
    <w:rsid w:val="005F5DDF"/>
    <w:rsid w:val="005F6074"/>
    <w:rsid w:val="005F6FC7"/>
    <w:rsid w:val="005F7572"/>
    <w:rsid w:val="005F7697"/>
    <w:rsid w:val="005F76A8"/>
    <w:rsid w:val="006009C7"/>
    <w:rsid w:val="00600C95"/>
    <w:rsid w:val="00602509"/>
    <w:rsid w:val="00603527"/>
    <w:rsid w:val="0060378C"/>
    <w:rsid w:val="00603814"/>
    <w:rsid w:val="00605EF8"/>
    <w:rsid w:val="00606112"/>
    <w:rsid w:val="0060632D"/>
    <w:rsid w:val="00606670"/>
    <w:rsid w:val="006068F5"/>
    <w:rsid w:val="00607143"/>
    <w:rsid w:val="0060776D"/>
    <w:rsid w:val="00610742"/>
    <w:rsid w:val="00610C48"/>
    <w:rsid w:val="00612910"/>
    <w:rsid w:val="00612D30"/>
    <w:rsid w:val="00612E95"/>
    <w:rsid w:val="00613626"/>
    <w:rsid w:val="00613EC6"/>
    <w:rsid w:val="006141E8"/>
    <w:rsid w:val="0061497E"/>
    <w:rsid w:val="0061542D"/>
    <w:rsid w:val="00615528"/>
    <w:rsid w:val="006157EC"/>
    <w:rsid w:val="006162CD"/>
    <w:rsid w:val="00616FFA"/>
    <w:rsid w:val="00617092"/>
    <w:rsid w:val="006173A7"/>
    <w:rsid w:val="00620D54"/>
    <w:rsid w:val="00620DB5"/>
    <w:rsid w:val="006211BB"/>
    <w:rsid w:val="00623AD8"/>
    <w:rsid w:val="00623EA1"/>
    <w:rsid w:val="00624523"/>
    <w:rsid w:val="006257ED"/>
    <w:rsid w:val="00625C4B"/>
    <w:rsid w:val="00625D5F"/>
    <w:rsid w:val="00626675"/>
    <w:rsid w:val="00626A71"/>
    <w:rsid w:val="00626BCF"/>
    <w:rsid w:val="00626CDB"/>
    <w:rsid w:val="00627529"/>
    <w:rsid w:val="00627A03"/>
    <w:rsid w:val="00627EE6"/>
    <w:rsid w:val="00630969"/>
    <w:rsid w:val="0063096C"/>
    <w:rsid w:val="00630F78"/>
    <w:rsid w:val="00631850"/>
    <w:rsid w:val="00633759"/>
    <w:rsid w:val="00636622"/>
    <w:rsid w:val="006378D2"/>
    <w:rsid w:val="0064057C"/>
    <w:rsid w:val="00640DF3"/>
    <w:rsid w:val="006419B7"/>
    <w:rsid w:val="006430EE"/>
    <w:rsid w:val="006431BD"/>
    <w:rsid w:val="0064360A"/>
    <w:rsid w:val="00643CA9"/>
    <w:rsid w:val="00644FEA"/>
    <w:rsid w:val="00645FA8"/>
    <w:rsid w:val="00646115"/>
    <w:rsid w:val="00646768"/>
    <w:rsid w:val="00647C42"/>
    <w:rsid w:val="0065104A"/>
    <w:rsid w:val="00651DCF"/>
    <w:rsid w:val="00652C1B"/>
    <w:rsid w:val="006531FC"/>
    <w:rsid w:val="00653835"/>
    <w:rsid w:val="0065484D"/>
    <w:rsid w:val="00655186"/>
    <w:rsid w:val="0065565B"/>
    <w:rsid w:val="00656973"/>
    <w:rsid w:val="00657A9C"/>
    <w:rsid w:val="00657CAD"/>
    <w:rsid w:val="00660962"/>
    <w:rsid w:val="006609F4"/>
    <w:rsid w:val="006613FA"/>
    <w:rsid w:val="0066201D"/>
    <w:rsid w:val="00662B47"/>
    <w:rsid w:val="00663424"/>
    <w:rsid w:val="00663597"/>
    <w:rsid w:val="00663613"/>
    <w:rsid w:val="00664544"/>
    <w:rsid w:val="006647BE"/>
    <w:rsid w:val="00664A05"/>
    <w:rsid w:val="00664F46"/>
    <w:rsid w:val="00665076"/>
    <w:rsid w:val="006652C2"/>
    <w:rsid w:val="00665FA7"/>
    <w:rsid w:val="00666DAB"/>
    <w:rsid w:val="00666F16"/>
    <w:rsid w:val="006671C0"/>
    <w:rsid w:val="00667CC0"/>
    <w:rsid w:val="006701C7"/>
    <w:rsid w:val="006704BC"/>
    <w:rsid w:val="006707B7"/>
    <w:rsid w:val="006710A7"/>
    <w:rsid w:val="00671295"/>
    <w:rsid w:val="00671574"/>
    <w:rsid w:val="006720A7"/>
    <w:rsid w:val="00672C90"/>
    <w:rsid w:val="006731D5"/>
    <w:rsid w:val="0067536A"/>
    <w:rsid w:val="0067581F"/>
    <w:rsid w:val="00675DEF"/>
    <w:rsid w:val="00676781"/>
    <w:rsid w:val="00680B18"/>
    <w:rsid w:val="00680F53"/>
    <w:rsid w:val="00681360"/>
    <w:rsid w:val="00681AA1"/>
    <w:rsid w:val="0068203F"/>
    <w:rsid w:val="00683DEA"/>
    <w:rsid w:val="00683FB3"/>
    <w:rsid w:val="0068484C"/>
    <w:rsid w:val="00685EA2"/>
    <w:rsid w:val="00686401"/>
    <w:rsid w:val="00687A4B"/>
    <w:rsid w:val="006900A1"/>
    <w:rsid w:val="00691F83"/>
    <w:rsid w:val="00692DD7"/>
    <w:rsid w:val="00692E22"/>
    <w:rsid w:val="00694043"/>
    <w:rsid w:val="006979F7"/>
    <w:rsid w:val="006A1681"/>
    <w:rsid w:val="006A2BB9"/>
    <w:rsid w:val="006A2EF3"/>
    <w:rsid w:val="006A3793"/>
    <w:rsid w:val="006A3810"/>
    <w:rsid w:val="006A3B24"/>
    <w:rsid w:val="006A3DD3"/>
    <w:rsid w:val="006A42AF"/>
    <w:rsid w:val="006A43B3"/>
    <w:rsid w:val="006A4DB7"/>
    <w:rsid w:val="006A4DCE"/>
    <w:rsid w:val="006A59EA"/>
    <w:rsid w:val="006A5E07"/>
    <w:rsid w:val="006A6148"/>
    <w:rsid w:val="006A66FD"/>
    <w:rsid w:val="006A6759"/>
    <w:rsid w:val="006A68D3"/>
    <w:rsid w:val="006A7731"/>
    <w:rsid w:val="006B13C8"/>
    <w:rsid w:val="006B1CA6"/>
    <w:rsid w:val="006B3777"/>
    <w:rsid w:val="006B3E45"/>
    <w:rsid w:val="006B498A"/>
    <w:rsid w:val="006B4995"/>
    <w:rsid w:val="006B4BAF"/>
    <w:rsid w:val="006B550C"/>
    <w:rsid w:val="006B5946"/>
    <w:rsid w:val="006B5965"/>
    <w:rsid w:val="006B5F41"/>
    <w:rsid w:val="006B5F94"/>
    <w:rsid w:val="006B63F5"/>
    <w:rsid w:val="006B6666"/>
    <w:rsid w:val="006C0C50"/>
    <w:rsid w:val="006C244E"/>
    <w:rsid w:val="006C3320"/>
    <w:rsid w:val="006C3578"/>
    <w:rsid w:val="006C43B7"/>
    <w:rsid w:val="006C4605"/>
    <w:rsid w:val="006C4994"/>
    <w:rsid w:val="006C4A28"/>
    <w:rsid w:val="006C4BD2"/>
    <w:rsid w:val="006C4DFB"/>
    <w:rsid w:val="006C6242"/>
    <w:rsid w:val="006C6983"/>
    <w:rsid w:val="006C6D66"/>
    <w:rsid w:val="006D0140"/>
    <w:rsid w:val="006D0455"/>
    <w:rsid w:val="006D07D5"/>
    <w:rsid w:val="006D1157"/>
    <w:rsid w:val="006D140E"/>
    <w:rsid w:val="006D203B"/>
    <w:rsid w:val="006D2F6E"/>
    <w:rsid w:val="006D3291"/>
    <w:rsid w:val="006D3876"/>
    <w:rsid w:val="006D3B21"/>
    <w:rsid w:val="006D3D91"/>
    <w:rsid w:val="006D3F1A"/>
    <w:rsid w:val="006D4B18"/>
    <w:rsid w:val="006D4E0C"/>
    <w:rsid w:val="006D4FD2"/>
    <w:rsid w:val="006D5F34"/>
    <w:rsid w:val="006D732E"/>
    <w:rsid w:val="006D77F2"/>
    <w:rsid w:val="006E0597"/>
    <w:rsid w:val="006E1219"/>
    <w:rsid w:val="006E145C"/>
    <w:rsid w:val="006E1BC1"/>
    <w:rsid w:val="006E2154"/>
    <w:rsid w:val="006E22AA"/>
    <w:rsid w:val="006E2760"/>
    <w:rsid w:val="006E2EDC"/>
    <w:rsid w:val="006E4B25"/>
    <w:rsid w:val="006E5391"/>
    <w:rsid w:val="006E58CC"/>
    <w:rsid w:val="006E692A"/>
    <w:rsid w:val="006F1B44"/>
    <w:rsid w:val="006F1EE9"/>
    <w:rsid w:val="006F1FDD"/>
    <w:rsid w:val="006F4E67"/>
    <w:rsid w:val="006F6AF0"/>
    <w:rsid w:val="006F7712"/>
    <w:rsid w:val="006F7BA5"/>
    <w:rsid w:val="006F7DAB"/>
    <w:rsid w:val="00700FEE"/>
    <w:rsid w:val="00701895"/>
    <w:rsid w:val="007019E9"/>
    <w:rsid w:val="00701D1F"/>
    <w:rsid w:val="00702010"/>
    <w:rsid w:val="00702263"/>
    <w:rsid w:val="00702713"/>
    <w:rsid w:val="0070295F"/>
    <w:rsid w:val="0070405E"/>
    <w:rsid w:val="007046A8"/>
    <w:rsid w:val="00705484"/>
    <w:rsid w:val="00706052"/>
    <w:rsid w:val="007067A5"/>
    <w:rsid w:val="007077E2"/>
    <w:rsid w:val="00707BAE"/>
    <w:rsid w:val="0071045A"/>
    <w:rsid w:val="007110C8"/>
    <w:rsid w:val="007127FA"/>
    <w:rsid w:val="00712A3E"/>
    <w:rsid w:val="00712C32"/>
    <w:rsid w:val="007157AA"/>
    <w:rsid w:val="00716196"/>
    <w:rsid w:val="00716BB8"/>
    <w:rsid w:val="00717425"/>
    <w:rsid w:val="007178FE"/>
    <w:rsid w:val="007179BC"/>
    <w:rsid w:val="0072028D"/>
    <w:rsid w:val="00720471"/>
    <w:rsid w:val="0072332D"/>
    <w:rsid w:val="0072335C"/>
    <w:rsid w:val="0072507F"/>
    <w:rsid w:val="00725B5E"/>
    <w:rsid w:val="00725B92"/>
    <w:rsid w:val="00726B8A"/>
    <w:rsid w:val="00727C27"/>
    <w:rsid w:val="00727CF6"/>
    <w:rsid w:val="0073007F"/>
    <w:rsid w:val="007300E0"/>
    <w:rsid w:val="00731E9C"/>
    <w:rsid w:val="007328E7"/>
    <w:rsid w:val="00732C8E"/>
    <w:rsid w:val="00733755"/>
    <w:rsid w:val="0073393E"/>
    <w:rsid w:val="00733A8D"/>
    <w:rsid w:val="00734A1D"/>
    <w:rsid w:val="00735949"/>
    <w:rsid w:val="00736D5D"/>
    <w:rsid w:val="00737D58"/>
    <w:rsid w:val="0074040D"/>
    <w:rsid w:val="007422CB"/>
    <w:rsid w:val="00742CF8"/>
    <w:rsid w:val="00743875"/>
    <w:rsid w:val="00743C45"/>
    <w:rsid w:val="00745AA0"/>
    <w:rsid w:val="00747E00"/>
    <w:rsid w:val="00747F42"/>
    <w:rsid w:val="00750650"/>
    <w:rsid w:val="007509DD"/>
    <w:rsid w:val="00750A87"/>
    <w:rsid w:val="00750FA4"/>
    <w:rsid w:val="0075102E"/>
    <w:rsid w:val="00751631"/>
    <w:rsid w:val="007521BB"/>
    <w:rsid w:val="00752E9F"/>
    <w:rsid w:val="00753896"/>
    <w:rsid w:val="0075478A"/>
    <w:rsid w:val="007549D1"/>
    <w:rsid w:val="007550C7"/>
    <w:rsid w:val="007552D9"/>
    <w:rsid w:val="0075556C"/>
    <w:rsid w:val="0075564F"/>
    <w:rsid w:val="00756ECD"/>
    <w:rsid w:val="00760449"/>
    <w:rsid w:val="007604B0"/>
    <w:rsid w:val="00760770"/>
    <w:rsid w:val="00760DA3"/>
    <w:rsid w:val="00762A5D"/>
    <w:rsid w:val="007638D0"/>
    <w:rsid w:val="007641F3"/>
    <w:rsid w:val="00765861"/>
    <w:rsid w:val="00766FA6"/>
    <w:rsid w:val="00766FDD"/>
    <w:rsid w:val="0076773C"/>
    <w:rsid w:val="00771F1F"/>
    <w:rsid w:val="00772B29"/>
    <w:rsid w:val="007741B0"/>
    <w:rsid w:val="007750F7"/>
    <w:rsid w:val="007757FA"/>
    <w:rsid w:val="00775FD0"/>
    <w:rsid w:val="0077619D"/>
    <w:rsid w:val="007763C7"/>
    <w:rsid w:val="00776746"/>
    <w:rsid w:val="00776DD0"/>
    <w:rsid w:val="00776F69"/>
    <w:rsid w:val="00777227"/>
    <w:rsid w:val="00777F7C"/>
    <w:rsid w:val="00781597"/>
    <w:rsid w:val="00782AF5"/>
    <w:rsid w:val="0078316C"/>
    <w:rsid w:val="0078431E"/>
    <w:rsid w:val="007847F5"/>
    <w:rsid w:val="00785211"/>
    <w:rsid w:val="00785C99"/>
    <w:rsid w:val="007876D8"/>
    <w:rsid w:val="0078775F"/>
    <w:rsid w:val="00787EE2"/>
    <w:rsid w:val="007909FD"/>
    <w:rsid w:val="00790AA5"/>
    <w:rsid w:val="007911A2"/>
    <w:rsid w:val="00792137"/>
    <w:rsid w:val="00792C78"/>
    <w:rsid w:val="00793A09"/>
    <w:rsid w:val="00794C29"/>
    <w:rsid w:val="0079603C"/>
    <w:rsid w:val="00796175"/>
    <w:rsid w:val="007963DE"/>
    <w:rsid w:val="007969F9"/>
    <w:rsid w:val="007974C4"/>
    <w:rsid w:val="007976C8"/>
    <w:rsid w:val="00797855"/>
    <w:rsid w:val="00797CC8"/>
    <w:rsid w:val="007A12A7"/>
    <w:rsid w:val="007A1A19"/>
    <w:rsid w:val="007A1A7B"/>
    <w:rsid w:val="007A1F5C"/>
    <w:rsid w:val="007A2BB8"/>
    <w:rsid w:val="007A2E83"/>
    <w:rsid w:val="007A36A8"/>
    <w:rsid w:val="007A3779"/>
    <w:rsid w:val="007A50C5"/>
    <w:rsid w:val="007A5DE6"/>
    <w:rsid w:val="007A6319"/>
    <w:rsid w:val="007A6AD4"/>
    <w:rsid w:val="007B13A8"/>
    <w:rsid w:val="007B2E56"/>
    <w:rsid w:val="007B2EB2"/>
    <w:rsid w:val="007B5D98"/>
    <w:rsid w:val="007B670E"/>
    <w:rsid w:val="007B6AE1"/>
    <w:rsid w:val="007B6DCD"/>
    <w:rsid w:val="007C0214"/>
    <w:rsid w:val="007C161B"/>
    <w:rsid w:val="007C2645"/>
    <w:rsid w:val="007C2895"/>
    <w:rsid w:val="007C2DD8"/>
    <w:rsid w:val="007C2F35"/>
    <w:rsid w:val="007C32D1"/>
    <w:rsid w:val="007C47DD"/>
    <w:rsid w:val="007C59D5"/>
    <w:rsid w:val="007C59F9"/>
    <w:rsid w:val="007C5B83"/>
    <w:rsid w:val="007C5D30"/>
    <w:rsid w:val="007C67FD"/>
    <w:rsid w:val="007C6D2C"/>
    <w:rsid w:val="007C7190"/>
    <w:rsid w:val="007C77EC"/>
    <w:rsid w:val="007D0FCE"/>
    <w:rsid w:val="007D1F85"/>
    <w:rsid w:val="007D2948"/>
    <w:rsid w:val="007D325D"/>
    <w:rsid w:val="007D33BD"/>
    <w:rsid w:val="007D3E42"/>
    <w:rsid w:val="007D46A2"/>
    <w:rsid w:val="007D4CD2"/>
    <w:rsid w:val="007D5B13"/>
    <w:rsid w:val="007D63E1"/>
    <w:rsid w:val="007D6606"/>
    <w:rsid w:val="007D7268"/>
    <w:rsid w:val="007D7BA5"/>
    <w:rsid w:val="007E040D"/>
    <w:rsid w:val="007E120D"/>
    <w:rsid w:val="007E1EC5"/>
    <w:rsid w:val="007E217A"/>
    <w:rsid w:val="007E2F66"/>
    <w:rsid w:val="007E313F"/>
    <w:rsid w:val="007E3E41"/>
    <w:rsid w:val="007E421F"/>
    <w:rsid w:val="007E46C5"/>
    <w:rsid w:val="007E51A0"/>
    <w:rsid w:val="007E554F"/>
    <w:rsid w:val="007E5A56"/>
    <w:rsid w:val="007E5E08"/>
    <w:rsid w:val="007E66C1"/>
    <w:rsid w:val="007E68F2"/>
    <w:rsid w:val="007E75BE"/>
    <w:rsid w:val="007F1B23"/>
    <w:rsid w:val="007F1D3D"/>
    <w:rsid w:val="007F24A6"/>
    <w:rsid w:val="007F24D5"/>
    <w:rsid w:val="007F2CA5"/>
    <w:rsid w:val="007F3216"/>
    <w:rsid w:val="007F3371"/>
    <w:rsid w:val="007F3FB8"/>
    <w:rsid w:val="007F4B64"/>
    <w:rsid w:val="007F63F3"/>
    <w:rsid w:val="007F6432"/>
    <w:rsid w:val="007F6EEF"/>
    <w:rsid w:val="007F7B4B"/>
    <w:rsid w:val="007F7C1D"/>
    <w:rsid w:val="00800FD4"/>
    <w:rsid w:val="00801ABB"/>
    <w:rsid w:val="0080235D"/>
    <w:rsid w:val="00802594"/>
    <w:rsid w:val="008030CA"/>
    <w:rsid w:val="008047DF"/>
    <w:rsid w:val="008050C1"/>
    <w:rsid w:val="00805948"/>
    <w:rsid w:val="00806D3A"/>
    <w:rsid w:val="00807F67"/>
    <w:rsid w:val="00811633"/>
    <w:rsid w:val="008124C0"/>
    <w:rsid w:val="00812F58"/>
    <w:rsid w:val="00815035"/>
    <w:rsid w:val="00816C4E"/>
    <w:rsid w:val="00816C72"/>
    <w:rsid w:val="00817BC0"/>
    <w:rsid w:val="00821B02"/>
    <w:rsid w:val="008225DC"/>
    <w:rsid w:val="0082295A"/>
    <w:rsid w:val="00823427"/>
    <w:rsid w:val="008237CE"/>
    <w:rsid w:val="0082405E"/>
    <w:rsid w:val="00824E09"/>
    <w:rsid w:val="00826378"/>
    <w:rsid w:val="008269B3"/>
    <w:rsid w:val="00826BAD"/>
    <w:rsid w:val="008270D1"/>
    <w:rsid w:val="00827264"/>
    <w:rsid w:val="0083084C"/>
    <w:rsid w:val="00831952"/>
    <w:rsid w:val="00831D8C"/>
    <w:rsid w:val="00832161"/>
    <w:rsid w:val="00833340"/>
    <w:rsid w:val="0083390F"/>
    <w:rsid w:val="00833C37"/>
    <w:rsid w:val="00835ADF"/>
    <w:rsid w:val="00836327"/>
    <w:rsid w:val="008366FE"/>
    <w:rsid w:val="00840282"/>
    <w:rsid w:val="00840AB8"/>
    <w:rsid w:val="00842408"/>
    <w:rsid w:val="008429C8"/>
    <w:rsid w:val="00844230"/>
    <w:rsid w:val="00844372"/>
    <w:rsid w:val="008450B3"/>
    <w:rsid w:val="00845606"/>
    <w:rsid w:val="008468AF"/>
    <w:rsid w:val="00847B9A"/>
    <w:rsid w:val="00850582"/>
    <w:rsid w:val="00850ECC"/>
    <w:rsid w:val="00852123"/>
    <w:rsid w:val="008530EC"/>
    <w:rsid w:val="008535AD"/>
    <w:rsid w:val="00853C04"/>
    <w:rsid w:val="00854CE6"/>
    <w:rsid w:val="00854E1B"/>
    <w:rsid w:val="00855410"/>
    <w:rsid w:val="008557D3"/>
    <w:rsid w:val="0085597E"/>
    <w:rsid w:val="00855D73"/>
    <w:rsid w:val="008560C0"/>
    <w:rsid w:val="008561D6"/>
    <w:rsid w:val="00856706"/>
    <w:rsid w:val="0085767F"/>
    <w:rsid w:val="00857709"/>
    <w:rsid w:val="00860897"/>
    <w:rsid w:val="00862047"/>
    <w:rsid w:val="008621B8"/>
    <w:rsid w:val="0086233E"/>
    <w:rsid w:val="00863181"/>
    <w:rsid w:val="00863ED1"/>
    <w:rsid w:val="00864025"/>
    <w:rsid w:val="00864EBF"/>
    <w:rsid w:val="00865120"/>
    <w:rsid w:val="008656FA"/>
    <w:rsid w:val="00865D5A"/>
    <w:rsid w:val="00866D3D"/>
    <w:rsid w:val="00867C3F"/>
    <w:rsid w:val="00867DA3"/>
    <w:rsid w:val="0087135C"/>
    <w:rsid w:val="00871398"/>
    <w:rsid w:val="00872AF3"/>
    <w:rsid w:val="00873CB0"/>
    <w:rsid w:val="008750D8"/>
    <w:rsid w:val="00875765"/>
    <w:rsid w:val="00876383"/>
    <w:rsid w:val="00876BA6"/>
    <w:rsid w:val="00877E62"/>
    <w:rsid w:val="00877FAB"/>
    <w:rsid w:val="00881976"/>
    <w:rsid w:val="00881A4F"/>
    <w:rsid w:val="00881ECC"/>
    <w:rsid w:val="00882192"/>
    <w:rsid w:val="008823FB"/>
    <w:rsid w:val="00882C56"/>
    <w:rsid w:val="00883BC4"/>
    <w:rsid w:val="00884B07"/>
    <w:rsid w:val="00885141"/>
    <w:rsid w:val="0088547F"/>
    <w:rsid w:val="008858D1"/>
    <w:rsid w:val="00885C21"/>
    <w:rsid w:val="0088690A"/>
    <w:rsid w:val="00887992"/>
    <w:rsid w:val="00887FC0"/>
    <w:rsid w:val="00887FF8"/>
    <w:rsid w:val="00890739"/>
    <w:rsid w:val="008914A9"/>
    <w:rsid w:val="008916FE"/>
    <w:rsid w:val="00891EB0"/>
    <w:rsid w:val="0089220B"/>
    <w:rsid w:val="0089221B"/>
    <w:rsid w:val="00892239"/>
    <w:rsid w:val="008925AD"/>
    <w:rsid w:val="00892D39"/>
    <w:rsid w:val="00892D83"/>
    <w:rsid w:val="00892FA7"/>
    <w:rsid w:val="00893086"/>
    <w:rsid w:val="00893C96"/>
    <w:rsid w:val="00893D8D"/>
    <w:rsid w:val="00893EEB"/>
    <w:rsid w:val="008940DA"/>
    <w:rsid w:val="008959D0"/>
    <w:rsid w:val="008968F9"/>
    <w:rsid w:val="00897523"/>
    <w:rsid w:val="00897A38"/>
    <w:rsid w:val="008A08B5"/>
    <w:rsid w:val="008A0BF3"/>
    <w:rsid w:val="008A0E74"/>
    <w:rsid w:val="008A1831"/>
    <w:rsid w:val="008A1AA7"/>
    <w:rsid w:val="008A1B00"/>
    <w:rsid w:val="008A2571"/>
    <w:rsid w:val="008A2815"/>
    <w:rsid w:val="008A3420"/>
    <w:rsid w:val="008A4575"/>
    <w:rsid w:val="008A51F8"/>
    <w:rsid w:val="008A5779"/>
    <w:rsid w:val="008A604F"/>
    <w:rsid w:val="008A6D05"/>
    <w:rsid w:val="008A6DDD"/>
    <w:rsid w:val="008A72D3"/>
    <w:rsid w:val="008B0231"/>
    <w:rsid w:val="008B08B5"/>
    <w:rsid w:val="008B0F7E"/>
    <w:rsid w:val="008B1CC2"/>
    <w:rsid w:val="008B2A24"/>
    <w:rsid w:val="008B2ED1"/>
    <w:rsid w:val="008B2F13"/>
    <w:rsid w:val="008B370D"/>
    <w:rsid w:val="008B42CA"/>
    <w:rsid w:val="008B6156"/>
    <w:rsid w:val="008B78C0"/>
    <w:rsid w:val="008B7C3C"/>
    <w:rsid w:val="008B7FFB"/>
    <w:rsid w:val="008C10B5"/>
    <w:rsid w:val="008C22ED"/>
    <w:rsid w:val="008C382B"/>
    <w:rsid w:val="008C524C"/>
    <w:rsid w:val="008C6005"/>
    <w:rsid w:val="008C6149"/>
    <w:rsid w:val="008C6ECD"/>
    <w:rsid w:val="008C70F5"/>
    <w:rsid w:val="008C730E"/>
    <w:rsid w:val="008C7AE2"/>
    <w:rsid w:val="008D072F"/>
    <w:rsid w:val="008D0C34"/>
    <w:rsid w:val="008D1004"/>
    <w:rsid w:val="008D1590"/>
    <w:rsid w:val="008D1FC0"/>
    <w:rsid w:val="008D2433"/>
    <w:rsid w:val="008D35A5"/>
    <w:rsid w:val="008D5031"/>
    <w:rsid w:val="008D6EAF"/>
    <w:rsid w:val="008D7FCB"/>
    <w:rsid w:val="008E1EE8"/>
    <w:rsid w:val="008E2891"/>
    <w:rsid w:val="008E435C"/>
    <w:rsid w:val="008E4684"/>
    <w:rsid w:val="008E4B40"/>
    <w:rsid w:val="008E52E3"/>
    <w:rsid w:val="008E5FDB"/>
    <w:rsid w:val="008E652B"/>
    <w:rsid w:val="008E652F"/>
    <w:rsid w:val="008E679D"/>
    <w:rsid w:val="008E67F5"/>
    <w:rsid w:val="008E731B"/>
    <w:rsid w:val="008E75F4"/>
    <w:rsid w:val="008E7FC3"/>
    <w:rsid w:val="008F049D"/>
    <w:rsid w:val="008F0D96"/>
    <w:rsid w:val="008F2236"/>
    <w:rsid w:val="008F27A3"/>
    <w:rsid w:val="008F2D84"/>
    <w:rsid w:val="008F2E38"/>
    <w:rsid w:val="008F3033"/>
    <w:rsid w:val="008F3951"/>
    <w:rsid w:val="008F3B54"/>
    <w:rsid w:val="008F3DE7"/>
    <w:rsid w:val="008F4C97"/>
    <w:rsid w:val="008F6903"/>
    <w:rsid w:val="008F6BCA"/>
    <w:rsid w:val="008F7059"/>
    <w:rsid w:val="008F743E"/>
    <w:rsid w:val="008F7C49"/>
    <w:rsid w:val="008F7D26"/>
    <w:rsid w:val="008F7D2F"/>
    <w:rsid w:val="0090008F"/>
    <w:rsid w:val="00900ACD"/>
    <w:rsid w:val="00902B2E"/>
    <w:rsid w:val="00903995"/>
    <w:rsid w:val="00903E9D"/>
    <w:rsid w:val="00904AFF"/>
    <w:rsid w:val="009063E8"/>
    <w:rsid w:val="00906E90"/>
    <w:rsid w:val="00907033"/>
    <w:rsid w:val="00907C6E"/>
    <w:rsid w:val="00912187"/>
    <w:rsid w:val="0091307A"/>
    <w:rsid w:val="00913B77"/>
    <w:rsid w:val="00914239"/>
    <w:rsid w:val="00914D94"/>
    <w:rsid w:val="009152A0"/>
    <w:rsid w:val="00915A3A"/>
    <w:rsid w:val="009165B7"/>
    <w:rsid w:val="009166EC"/>
    <w:rsid w:val="00916B1E"/>
    <w:rsid w:val="009173CD"/>
    <w:rsid w:val="00917928"/>
    <w:rsid w:val="00920BD0"/>
    <w:rsid w:val="00920F08"/>
    <w:rsid w:val="0092282A"/>
    <w:rsid w:val="00922A8D"/>
    <w:rsid w:val="00923158"/>
    <w:rsid w:val="00923DAB"/>
    <w:rsid w:val="0092450B"/>
    <w:rsid w:val="00924E1F"/>
    <w:rsid w:val="00926133"/>
    <w:rsid w:val="00926C29"/>
    <w:rsid w:val="00926CBD"/>
    <w:rsid w:val="00926FF4"/>
    <w:rsid w:val="00927E89"/>
    <w:rsid w:val="0093006C"/>
    <w:rsid w:val="00932E41"/>
    <w:rsid w:val="009333AD"/>
    <w:rsid w:val="00933867"/>
    <w:rsid w:val="00934ACB"/>
    <w:rsid w:val="00935F8D"/>
    <w:rsid w:val="00936013"/>
    <w:rsid w:val="00936BDE"/>
    <w:rsid w:val="00936C40"/>
    <w:rsid w:val="00936E9E"/>
    <w:rsid w:val="00937491"/>
    <w:rsid w:val="0094074C"/>
    <w:rsid w:val="0094205B"/>
    <w:rsid w:val="0094223A"/>
    <w:rsid w:val="0094307D"/>
    <w:rsid w:val="00944156"/>
    <w:rsid w:val="00944FFA"/>
    <w:rsid w:val="00945305"/>
    <w:rsid w:val="00945662"/>
    <w:rsid w:val="00946673"/>
    <w:rsid w:val="00947BFC"/>
    <w:rsid w:val="0095081E"/>
    <w:rsid w:val="00950C82"/>
    <w:rsid w:val="009513F7"/>
    <w:rsid w:val="0095177E"/>
    <w:rsid w:val="00951B30"/>
    <w:rsid w:val="00951DED"/>
    <w:rsid w:val="009526DC"/>
    <w:rsid w:val="00953479"/>
    <w:rsid w:val="009535DD"/>
    <w:rsid w:val="009536DE"/>
    <w:rsid w:val="009537E7"/>
    <w:rsid w:val="0095441F"/>
    <w:rsid w:val="00954927"/>
    <w:rsid w:val="0095530C"/>
    <w:rsid w:val="00955CE3"/>
    <w:rsid w:val="00960C40"/>
    <w:rsid w:val="009617A7"/>
    <w:rsid w:val="00961E5A"/>
    <w:rsid w:val="009628FD"/>
    <w:rsid w:val="009632E9"/>
    <w:rsid w:val="0096334E"/>
    <w:rsid w:val="00963A5F"/>
    <w:rsid w:val="00963EE6"/>
    <w:rsid w:val="009641E0"/>
    <w:rsid w:val="009651F0"/>
    <w:rsid w:val="009658F3"/>
    <w:rsid w:val="00966AE4"/>
    <w:rsid w:val="009674ED"/>
    <w:rsid w:val="009675B6"/>
    <w:rsid w:val="00972171"/>
    <w:rsid w:val="00972CB1"/>
    <w:rsid w:val="00973928"/>
    <w:rsid w:val="009748A7"/>
    <w:rsid w:val="00974F46"/>
    <w:rsid w:val="009766E9"/>
    <w:rsid w:val="009775FE"/>
    <w:rsid w:val="00977BFA"/>
    <w:rsid w:val="00980801"/>
    <w:rsid w:val="00980951"/>
    <w:rsid w:val="0098095E"/>
    <w:rsid w:val="00980A1F"/>
    <w:rsid w:val="00981741"/>
    <w:rsid w:val="00981E96"/>
    <w:rsid w:val="009820FA"/>
    <w:rsid w:val="00982258"/>
    <w:rsid w:val="009838AD"/>
    <w:rsid w:val="00983B86"/>
    <w:rsid w:val="00984137"/>
    <w:rsid w:val="00984937"/>
    <w:rsid w:val="00985787"/>
    <w:rsid w:val="00985922"/>
    <w:rsid w:val="009864E6"/>
    <w:rsid w:val="00986646"/>
    <w:rsid w:val="009868FC"/>
    <w:rsid w:val="00986D65"/>
    <w:rsid w:val="0099011E"/>
    <w:rsid w:val="00990803"/>
    <w:rsid w:val="00991FE1"/>
    <w:rsid w:val="00992333"/>
    <w:rsid w:val="0099285E"/>
    <w:rsid w:val="00992C5F"/>
    <w:rsid w:val="00993991"/>
    <w:rsid w:val="00993A36"/>
    <w:rsid w:val="0099435A"/>
    <w:rsid w:val="00995396"/>
    <w:rsid w:val="009955B8"/>
    <w:rsid w:val="00997322"/>
    <w:rsid w:val="009977F2"/>
    <w:rsid w:val="00997919"/>
    <w:rsid w:val="009A1C28"/>
    <w:rsid w:val="009A20C8"/>
    <w:rsid w:val="009A2300"/>
    <w:rsid w:val="009A353A"/>
    <w:rsid w:val="009A4630"/>
    <w:rsid w:val="009A62BE"/>
    <w:rsid w:val="009B03E8"/>
    <w:rsid w:val="009B0A63"/>
    <w:rsid w:val="009B11B6"/>
    <w:rsid w:val="009B2F55"/>
    <w:rsid w:val="009B3940"/>
    <w:rsid w:val="009B4843"/>
    <w:rsid w:val="009B52E5"/>
    <w:rsid w:val="009B5731"/>
    <w:rsid w:val="009B5815"/>
    <w:rsid w:val="009B5B6B"/>
    <w:rsid w:val="009B702F"/>
    <w:rsid w:val="009B70E2"/>
    <w:rsid w:val="009B7ADA"/>
    <w:rsid w:val="009C03C6"/>
    <w:rsid w:val="009C0E6C"/>
    <w:rsid w:val="009C1029"/>
    <w:rsid w:val="009C1650"/>
    <w:rsid w:val="009C37E7"/>
    <w:rsid w:val="009C4128"/>
    <w:rsid w:val="009C477B"/>
    <w:rsid w:val="009C6026"/>
    <w:rsid w:val="009C618E"/>
    <w:rsid w:val="009C6932"/>
    <w:rsid w:val="009C69A4"/>
    <w:rsid w:val="009C6A37"/>
    <w:rsid w:val="009C77E2"/>
    <w:rsid w:val="009D1FA6"/>
    <w:rsid w:val="009D2490"/>
    <w:rsid w:val="009D25E1"/>
    <w:rsid w:val="009D4011"/>
    <w:rsid w:val="009D41AE"/>
    <w:rsid w:val="009D4335"/>
    <w:rsid w:val="009D585C"/>
    <w:rsid w:val="009D5BBD"/>
    <w:rsid w:val="009E00F8"/>
    <w:rsid w:val="009E0A5B"/>
    <w:rsid w:val="009E0EE8"/>
    <w:rsid w:val="009E1B9B"/>
    <w:rsid w:val="009E23A8"/>
    <w:rsid w:val="009E285A"/>
    <w:rsid w:val="009E3154"/>
    <w:rsid w:val="009E3457"/>
    <w:rsid w:val="009E4209"/>
    <w:rsid w:val="009E47E7"/>
    <w:rsid w:val="009E4B15"/>
    <w:rsid w:val="009E4D99"/>
    <w:rsid w:val="009E526F"/>
    <w:rsid w:val="009E55C5"/>
    <w:rsid w:val="009E5C60"/>
    <w:rsid w:val="009E62BF"/>
    <w:rsid w:val="009E6893"/>
    <w:rsid w:val="009E68F6"/>
    <w:rsid w:val="009E6BEE"/>
    <w:rsid w:val="009E77D2"/>
    <w:rsid w:val="009F16FB"/>
    <w:rsid w:val="009F198D"/>
    <w:rsid w:val="009F29AA"/>
    <w:rsid w:val="009F2D32"/>
    <w:rsid w:val="009F2D59"/>
    <w:rsid w:val="009F4149"/>
    <w:rsid w:val="009F484D"/>
    <w:rsid w:val="009F48B9"/>
    <w:rsid w:val="009F6025"/>
    <w:rsid w:val="009F609F"/>
    <w:rsid w:val="009F64DA"/>
    <w:rsid w:val="009F69A4"/>
    <w:rsid w:val="009F6DD1"/>
    <w:rsid w:val="009F7F71"/>
    <w:rsid w:val="00A005FD"/>
    <w:rsid w:val="00A0061C"/>
    <w:rsid w:val="00A00F2D"/>
    <w:rsid w:val="00A01273"/>
    <w:rsid w:val="00A01E58"/>
    <w:rsid w:val="00A01F53"/>
    <w:rsid w:val="00A0264B"/>
    <w:rsid w:val="00A0280F"/>
    <w:rsid w:val="00A03DC0"/>
    <w:rsid w:val="00A049C4"/>
    <w:rsid w:val="00A04B22"/>
    <w:rsid w:val="00A05581"/>
    <w:rsid w:val="00A0594F"/>
    <w:rsid w:val="00A05A6A"/>
    <w:rsid w:val="00A06BCC"/>
    <w:rsid w:val="00A06CD0"/>
    <w:rsid w:val="00A105ED"/>
    <w:rsid w:val="00A10E4E"/>
    <w:rsid w:val="00A11E06"/>
    <w:rsid w:val="00A12572"/>
    <w:rsid w:val="00A160F4"/>
    <w:rsid w:val="00A172C7"/>
    <w:rsid w:val="00A202E7"/>
    <w:rsid w:val="00A20E93"/>
    <w:rsid w:val="00A229D6"/>
    <w:rsid w:val="00A22DD3"/>
    <w:rsid w:val="00A22F69"/>
    <w:rsid w:val="00A24BCB"/>
    <w:rsid w:val="00A2678C"/>
    <w:rsid w:val="00A277CC"/>
    <w:rsid w:val="00A27B02"/>
    <w:rsid w:val="00A301D6"/>
    <w:rsid w:val="00A30C2E"/>
    <w:rsid w:val="00A31E8E"/>
    <w:rsid w:val="00A32777"/>
    <w:rsid w:val="00A32D9C"/>
    <w:rsid w:val="00A3365E"/>
    <w:rsid w:val="00A34DD1"/>
    <w:rsid w:val="00A34E76"/>
    <w:rsid w:val="00A35890"/>
    <w:rsid w:val="00A36A36"/>
    <w:rsid w:val="00A36B76"/>
    <w:rsid w:val="00A370BD"/>
    <w:rsid w:val="00A3717F"/>
    <w:rsid w:val="00A4001C"/>
    <w:rsid w:val="00A40946"/>
    <w:rsid w:val="00A419A0"/>
    <w:rsid w:val="00A429D2"/>
    <w:rsid w:val="00A433F9"/>
    <w:rsid w:val="00A434E6"/>
    <w:rsid w:val="00A439EA"/>
    <w:rsid w:val="00A43D3D"/>
    <w:rsid w:val="00A4493F"/>
    <w:rsid w:val="00A45142"/>
    <w:rsid w:val="00A462D6"/>
    <w:rsid w:val="00A46A28"/>
    <w:rsid w:val="00A46C52"/>
    <w:rsid w:val="00A47E08"/>
    <w:rsid w:val="00A521D1"/>
    <w:rsid w:val="00A5326E"/>
    <w:rsid w:val="00A55522"/>
    <w:rsid w:val="00A55544"/>
    <w:rsid w:val="00A5589C"/>
    <w:rsid w:val="00A565B0"/>
    <w:rsid w:val="00A602C0"/>
    <w:rsid w:val="00A6073F"/>
    <w:rsid w:val="00A61B5B"/>
    <w:rsid w:val="00A621CA"/>
    <w:rsid w:val="00A637E1"/>
    <w:rsid w:val="00A63BA7"/>
    <w:rsid w:val="00A63D3C"/>
    <w:rsid w:val="00A64036"/>
    <w:rsid w:val="00A64A32"/>
    <w:rsid w:val="00A65132"/>
    <w:rsid w:val="00A65596"/>
    <w:rsid w:val="00A655B6"/>
    <w:rsid w:val="00A6562F"/>
    <w:rsid w:val="00A6581E"/>
    <w:rsid w:val="00A65FE2"/>
    <w:rsid w:val="00A66847"/>
    <w:rsid w:val="00A66BB5"/>
    <w:rsid w:val="00A6742C"/>
    <w:rsid w:val="00A67E1F"/>
    <w:rsid w:val="00A70302"/>
    <w:rsid w:val="00A7082C"/>
    <w:rsid w:val="00A712F1"/>
    <w:rsid w:val="00A7156D"/>
    <w:rsid w:val="00A7336E"/>
    <w:rsid w:val="00A74952"/>
    <w:rsid w:val="00A765F6"/>
    <w:rsid w:val="00A7723A"/>
    <w:rsid w:val="00A77437"/>
    <w:rsid w:val="00A778CE"/>
    <w:rsid w:val="00A80704"/>
    <w:rsid w:val="00A80CCC"/>
    <w:rsid w:val="00A812F0"/>
    <w:rsid w:val="00A81885"/>
    <w:rsid w:val="00A81DEC"/>
    <w:rsid w:val="00A821CD"/>
    <w:rsid w:val="00A82BE6"/>
    <w:rsid w:val="00A82BF5"/>
    <w:rsid w:val="00A838F0"/>
    <w:rsid w:val="00A839CB"/>
    <w:rsid w:val="00A85592"/>
    <w:rsid w:val="00A85656"/>
    <w:rsid w:val="00A856FD"/>
    <w:rsid w:val="00A85CC6"/>
    <w:rsid w:val="00A8623E"/>
    <w:rsid w:val="00A90912"/>
    <w:rsid w:val="00A911D5"/>
    <w:rsid w:val="00A93A46"/>
    <w:rsid w:val="00A93B3D"/>
    <w:rsid w:val="00A94F4A"/>
    <w:rsid w:val="00A95E28"/>
    <w:rsid w:val="00A9690E"/>
    <w:rsid w:val="00A9731F"/>
    <w:rsid w:val="00AA023D"/>
    <w:rsid w:val="00AA03AC"/>
    <w:rsid w:val="00AA0552"/>
    <w:rsid w:val="00AA14A9"/>
    <w:rsid w:val="00AA195C"/>
    <w:rsid w:val="00AA19AF"/>
    <w:rsid w:val="00AA2031"/>
    <w:rsid w:val="00AA3587"/>
    <w:rsid w:val="00AA40D4"/>
    <w:rsid w:val="00AA45CE"/>
    <w:rsid w:val="00AA534D"/>
    <w:rsid w:val="00AA6619"/>
    <w:rsid w:val="00AA6A46"/>
    <w:rsid w:val="00AA7067"/>
    <w:rsid w:val="00AA7615"/>
    <w:rsid w:val="00AA7A09"/>
    <w:rsid w:val="00AA7C2E"/>
    <w:rsid w:val="00AA7DB1"/>
    <w:rsid w:val="00AB0C49"/>
    <w:rsid w:val="00AB20A5"/>
    <w:rsid w:val="00AB28C2"/>
    <w:rsid w:val="00AB313D"/>
    <w:rsid w:val="00AB395C"/>
    <w:rsid w:val="00AB4068"/>
    <w:rsid w:val="00AB42F8"/>
    <w:rsid w:val="00AB4E54"/>
    <w:rsid w:val="00AB4E9F"/>
    <w:rsid w:val="00AB507F"/>
    <w:rsid w:val="00AB524E"/>
    <w:rsid w:val="00AB5D12"/>
    <w:rsid w:val="00AB6354"/>
    <w:rsid w:val="00AB76DA"/>
    <w:rsid w:val="00AC08E9"/>
    <w:rsid w:val="00AC2247"/>
    <w:rsid w:val="00AC3104"/>
    <w:rsid w:val="00AC38B6"/>
    <w:rsid w:val="00AC419B"/>
    <w:rsid w:val="00AC4982"/>
    <w:rsid w:val="00AC4D33"/>
    <w:rsid w:val="00AC5DEF"/>
    <w:rsid w:val="00AC74E2"/>
    <w:rsid w:val="00AD03E6"/>
    <w:rsid w:val="00AD0414"/>
    <w:rsid w:val="00AD1322"/>
    <w:rsid w:val="00AD1619"/>
    <w:rsid w:val="00AD1818"/>
    <w:rsid w:val="00AD2344"/>
    <w:rsid w:val="00AD2D4B"/>
    <w:rsid w:val="00AD3347"/>
    <w:rsid w:val="00AD355F"/>
    <w:rsid w:val="00AD4BC6"/>
    <w:rsid w:val="00AD538A"/>
    <w:rsid w:val="00AD5BCE"/>
    <w:rsid w:val="00AD5F64"/>
    <w:rsid w:val="00AD60B1"/>
    <w:rsid w:val="00AE07D0"/>
    <w:rsid w:val="00AE1CCE"/>
    <w:rsid w:val="00AE1CDE"/>
    <w:rsid w:val="00AE255B"/>
    <w:rsid w:val="00AE2DF6"/>
    <w:rsid w:val="00AE329F"/>
    <w:rsid w:val="00AE4F67"/>
    <w:rsid w:val="00AE69E1"/>
    <w:rsid w:val="00AF1FD9"/>
    <w:rsid w:val="00AF33DE"/>
    <w:rsid w:val="00AF341B"/>
    <w:rsid w:val="00AF3730"/>
    <w:rsid w:val="00AF3AA5"/>
    <w:rsid w:val="00AF4E11"/>
    <w:rsid w:val="00AF5C83"/>
    <w:rsid w:val="00AF7520"/>
    <w:rsid w:val="00AF7766"/>
    <w:rsid w:val="00B015D0"/>
    <w:rsid w:val="00B02290"/>
    <w:rsid w:val="00B02A57"/>
    <w:rsid w:val="00B0347E"/>
    <w:rsid w:val="00B039AE"/>
    <w:rsid w:val="00B04B22"/>
    <w:rsid w:val="00B05AC7"/>
    <w:rsid w:val="00B05F90"/>
    <w:rsid w:val="00B06721"/>
    <w:rsid w:val="00B068D5"/>
    <w:rsid w:val="00B06E3F"/>
    <w:rsid w:val="00B07C73"/>
    <w:rsid w:val="00B11398"/>
    <w:rsid w:val="00B11992"/>
    <w:rsid w:val="00B1473D"/>
    <w:rsid w:val="00B15069"/>
    <w:rsid w:val="00B15078"/>
    <w:rsid w:val="00B15587"/>
    <w:rsid w:val="00B15D14"/>
    <w:rsid w:val="00B1714C"/>
    <w:rsid w:val="00B20AD8"/>
    <w:rsid w:val="00B21E19"/>
    <w:rsid w:val="00B22526"/>
    <w:rsid w:val="00B22B61"/>
    <w:rsid w:val="00B22D97"/>
    <w:rsid w:val="00B24D8E"/>
    <w:rsid w:val="00B25481"/>
    <w:rsid w:val="00B25D55"/>
    <w:rsid w:val="00B26A15"/>
    <w:rsid w:val="00B26E45"/>
    <w:rsid w:val="00B26EBD"/>
    <w:rsid w:val="00B27965"/>
    <w:rsid w:val="00B27E04"/>
    <w:rsid w:val="00B302CD"/>
    <w:rsid w:val="00B30A53"/>
    <w:rsid w:val="00B3155E"/>
    <w:rsid w:val="00B315CF"/>
    <w:rsid w:val="00B31BA6"/>
    <w:rsid w:val="00B32421"/>
    <w:rsid w:val="00B3414E"/>
    <w:rsid w:val="00B34446"/>
    <w:rsid w:val="00B35FEF"/>
    <w:rsid w:val="00B37FCB"/>
    <w:rsid w:val="00B40D38"/>
    <w:rsid w:val="00B414BC"/>
    <w:rsid w:val="00B44B17"/>
    <w:rsid w:val="00B45F6D"/>
    <w:rsid w:val="00B46F0C"/>
    <w:rsid w:val="00B47729"/>
    <w:rsid w:val="00B47C24"/>
    <w:rsid w:val="00B47EA6"/>
    <w:rsid w:val="00B51E78"/>
    <w:rsid w:val="00B520FF"/>
    <w:rsid w:val="00B523FE"/>
    <w:rsid w:val="00B54C42"/>
    <w:rsid w:val="00B55922"/>
    <w:rsid w:val="00B61AFF"/>
    <w:rsid w:val="00B648D3"/>
    <w:rsid w:val="00B649FA"/>
    <w:rsid w:val="00B66C81"/>
    <w:rsid w:val="00B66E41"/>
    <w:rsid w:val="00B66F0E"/>
    <w:rsid w:val="00B677C3"/>
    <w:rsid w:val="00B67F19"/>
    <w:rsid w:val="00B70F00"/>
    <w:rsid w:val="00B72C1D"/>
    <w:rsid w:val="00B72D4E"/>
    <w:rsid w:val="00B74F00"/>
    <w:rsid w:val="00B75477"/>
    <w:rsid w:val="00B75F24"/>
    <w:rsid w:val="00B77231"/>
    <w:rsid w:val="00B801B5"/>
    <w:rsid w:val="00B80508"/>
    <w:rsid w:val="00B8173B"/>
    <w:rsid w:val="00B81CA2"/>
    <w:rsid w:val="00B81CBD"/>
    <w:rsid w:val="00B822E5"/>
    <w:rsid w:val="00B82424"/>
    <w:rsid w:val="00B83F1F"/>
    <w:rsid w:val="00B84F8F"/>
    <w:rsid w:val="00B86997"/>
    <w:rsid w:val="00B86B1C"/>
    <w:rsid w:val="00B871F9"/>
    <w:rsid w:val="00B87F4E"/>
    <w:rsid w:val="00B90671"/>
    <w:rsid w:val="00B90F14"/>
    <w:rsid w:val="00B9115E"/>
    <w:rsid w:val="00B9119F"/>
    <w:rsid w:val="00B91FD6"/>
    <w:rsid w:val="00B92075"/>
    <w:rsid w:val="00B93467"/>
    <w:rsid w:val="00B93E79"/>
    <w:rsid w:val="00B93E8B"/>
    <w:rsid w:val="00B94E24"/>
    <w:rsid w:val="00B95E21"/>
    <w:rsid w:val="00B96143"/>
    <w:rsid w:val="00B96383"/>
    <w:rsid w:val="00B975C3"/>
    <w:rsid w:val="00BA0AA8"/>
    <w:rsid w:val="00BA1B88"/>
    <w:rsid w:val="00BA21B5"/>
    <w:rsid w:val="00BA379C"/>
    <w:rsid w:val="00BA3C53"/>
    <w:rsid w:val="00BA4202"/>
    <w:rsid w:val="00BA4B98"/>
    <w:rsid w:val="00BA53F1"/>
    <w:rsid w:val="00BA5EFF"/>
    <w:rsid w:val="00BA6102"/>
    <w:rsid w:val="00BA620B"/>
    <w:rsid w:val="00BA637E"/>
    <w:rsid w:val="00BA7381"/>
    <w:rsid w:val="00BA7E86"/>
    <w:rsid w:val="00BB04EA"/>
    <w:rsid w:val="00BB05D1"/>
    <w:rsid w:val="00BB1995"/>
    <w:rsid w:val="00BB1AA2"/>
    <w:rsid w:val="00BB218A"/>
    <w:rsid w:val="00BB2C20"/>
    <w:rsid w:val="00BB4575"/>
    <w:rsid w:val="00BB4589"/>
    <w:rsid w:val="00BB4DE8"/>
    <w:rsid w:val="00BB6830"/>
    <w:rsid w:val="00BB6F2D"/>
    <w:rsid w:val="00BB7B7B"/>
    <w:rsid w:val="00BC09F2"/>
    <w:rsid w:val="00BC14C2"/>
    <w:rsid w:val="00BC1E31"/>
    <w:rsid w:val="00BC202E"/>
    <w:rsid w:val="00BC22CD"/>
    <w:rsid w:val="00BC26EF"/>
    <w:rsid w:val="00BC2901"/>
    <w:rsid w:val="00BC2CF1"/>
    <w:rsid w:val="00BC5BAE"/>
    <w:rsid w:val="00BC5F1E"/>
    <w:rsid w:val="00BC62D9"/>
    <w:rsid w:val="00BC644C"/>
    <w:rsid w:val="00BC6BB4"/>
    <w:rsid w:val="00BD141A"/>
    <w:rsid w:val="00BD2AB3"/>
    <w:rsid w:val="00BD4446"/>
    <w:rsid w:val="00BD4A4D"/>
    <w:rsid w:val="00BD4C68"/>
    <w:rsid w:val="00BD533F"/>
    <w:rsid w:val="00BD54A3"/>
    <w:rsid w:val="00BD5CDC"/>
    <w:rsid w:val="00BD6EC3"/>
    <w:rsid w:val="00BD75FD"/>
    <w:rsid w:val="00BD7A6E"/>
    <w:rsid w:val="00BE092D"/>
    <w:rsid w:val="00BE0AD5"/>
    <w:rsid w:val="00BE0E5F"/>
    <w:rsid w:val="00BE15A0"/>
    <w:rsid w:val="00BE1AD2"/>
    <w:rsid w:val="00BE1BDD"/>
    <w:rsid w:val="00BE2C6A"/>
    <w:rsid w:val="00BE37F8"/>
    <w:rsid w:val="00BE4036"/>
    <w:rsid w:val="00BE4F3F"/>
    <w:rsid w:val="00BE5609"/>
    <w:rsid w:val="00BE5802"/>
    <w:rsid w:val="00BE5913"/>
    <w:rsid w:val="00BE6353"/>
    <w:rsid w:val="00BE651C"/>
    <w:rsid w:val="00BE6B62"/>
    <w:rsid w:val="00BE6C04"/>
    <w:rsid w:val="00BE720C"/>
    <w:rsid w:val="00BE7FF1"/>
    <w:rsid w:val="00BF0A7B"/>
    <w:rsid w:val="00BF2E5D"/>
    <w:rsid w:val="00BF30FA"/>
    <w:rsid w:val="00BF3162"/>
    <w:rsid w:val="00BF3C25"/>
    <w:rsid w:val="00BF3D3F"/>
    <w:rsid w:val="00BF7099"/>
    <w:rsid w:val="00BF730C"/>
    <w:rsid w:val="00BF7E19"/>
    <w:rsid w:val="00C0028D"/>
    <w:rsid w:val="00C00D7D"/>
    <w:rsid w:val="00C00DB6"/>
    <w:rsid w:val="00C012BB"/>
    <w:rsid w:val="00C01E25"/>
    <w:rsid w:val="00C02489"/>
    <w:rsid w:val="00C04FD2"/>
    <w:rsid w:val="00C05471"/>
    <w:rsid w:val="00C06D05"/>
    <w:rsid w:val="00C1017D"/>
    <w:rsid w:val="00C10607"/>
    <w:rsid w:val="00C1162E"/>
    <w:rsid w:val="00C1168A"/>
    <w:rsid w:val="00C11AF5"/>
    <w:rsid w:val="00C11E47"/>
    <w:rsid w:val="00C11E63"/>
    <w:rsid w:val="00C126BC"/>
    <w:rsid w:val="00C12FF6"/>
    <w:rsid w:val="00C132CE"/>
    <w:rsid w:val="00C1506E"/>
    <w:rsid w:val="00C1713A"/>
    <w:rsid w:val="00C17792"/>
    <w:rsid w:val="00C17BEA"/>
    <w:rsid w:val="00C21D1B"/>
    <w:rsid w:val="00C2277E"/>
    <w:rsid w:val="00C23CB9"/>
    <w:rsid w:val="00C245B0"/>
    <w:rsid w:val="00C24C24"/>
    <w:rsid w:val="00C24ECC"/>
    <w:rsid w:val="00C25ECC"/>
    <w:rsid w:val="00C30245"/>
    <w:rsid w:val="00C30DB3"/>
    <w:rsid w:val="00C31C25"/>
    <w:rsid w:val="00C31C7E"/>
    <w:rsid w:val="00C31D3D"/>
    <w:rsid w:val="00C323C5"/>
    <w:rsid w:val="00C33660"/>
    <w:rsid w:val="00C343C9"/>
    <w:rsid w:val="00C351AF"/>
    <w:rsid w:val="00C3533C"/>
    <w:rsid w:val="00C36045"/>
    <w:rsid w:val="00C360DA"/>
    <w:rsid w:val="00C36723"/>
    <w:rsid w:val="00C36D58"/>
    <w:rsid w:val="00C372A2"/>
    <w:rsid w:val="00C37BD3"/>
    <w:rsid w:val="00C4005A"/>
    <w:rsid w:val="00C40172"/>
    <w:rsid w:val="00C406AD"/>
    <w:rsid w:val="00C40B39"/>
    <w:rsid w:val="00C40D86"/>
    <w:rsid w:val="00C41503"/>
    <w:rsid w:val="00C41AAD"/>
    <w:rsid w:val="00C433F1"/>
    <w:rsid w:val="00C43893"/>
    <w:rsid w:val="00C4487B"/>
    <w:rsid w:val="00C44FCF"/>
    <w:rsid w:val="00C4509E"/>
    <w:rsid w:val="00C4572B"/>
    <w:rsid w:val="00C468C4"/>
    <w:rsid w:val="00C46984"/>
    <w:rsid w:val="00C50614"/>
    <w:rsid w:val="00C51751"/>
    <w:rsid w:val="00C519F1"/>
    <w:rsid w:val="00C52075"/>
    <w:rsid w:val="00C5228F"/>
    <w:rsid w:val="00C52296"/>
    <w:rsid w:val="00C5255F"/>
    <w:rsid w:val="00C526BA"/>
    <w:rsid w:val="00C52B79"/>
    <w:rsid w:val="00C52BED"/>
    <w:rsid w:val="00C52E12"/>
    <w:rsid w:val="00C534DB"/>
    <w:rsid w:val="00C53756"/>
    <w:rsid w:val="00C549E7"/>
    <w:rsid w:val="00C55EC7"/>
    <w:rsid w:val="00C55EF5"/>
    <w:rsid w:val="00C55FD8"/>
    <w:rsid w:val="00C57752"/>
    <w:rsid w:val="00C608DC"/>
    <w:rsid w:val="00C60AB0"/>
    <w:rsid w:val="00C61608"/>
    <w:rsid w:val="00C61645"/>
    <w:rsid w:val="00C6166A"/>
    <w:rsid w:val="00C6354A"/>
    <w:rsid w:val="00C63A3E"/>
    <w:rsid w:val="00C63A7B"/>
    <w:rsid w:val="00C6440B"/>
    <w:rsid w:val="00C64ABC"/>
    <w:rsid w:val="00C655C3"/>
    <w:rsid w:val="00C65E00"/>
    <w:rsid w:val="00C65F45"/>
    <w:rsid w:val="00C66273"/>
    <w:rsid w:val="00C67321"/>
    <w:rsid w:val="00C7005D"/>
    <w:rsid w:val="00C712FF"/>
    <w:rsid w:val="00C74186"/>
    <w:rsid w:val="00C7465B"/>
    <w:rsid w:val="00C74788"/>
    <w:rsid w:val="00C74D34"/>
    <w:rsid w:val="00C74D59"/>
    <w:rsid w:val="00C74EC5"/>
    <w:rsid w:val="00C755A2"/>
    <w:rsid w:val="00C76E72"/>
    <w:rsid w:val="00C773A6"/>
    <w:rsid w:val="00C77C79"/>
    <w:rsid w:val="00C801DF"/>
    <w:rsid w:val="00C80B1E"/>
    <w:rsid w:val="00C81D9C"/>
    <w:rsid w:val="00C83853"/>
    <w:rsid w:val="00C8426C"/>
    <w:rsid w:val="00C85327"/>
    <w:rsid w:val="00C85D60"/>
    <w:rsid w:val="00C87862"/>
    <w:rsid w:val="00C87907"/>
    <w:rsid w:val="00C87EAF"/>
    <w:rsid w:val="00C9000A"/>
    <w:rsid w:val="00C902BF"/>
    <w:rsid w:val="00C909A6"/>
    <w:rsid w:val="00C910FE"/>
    <w:rsid w:val="00C93CA5"/>
    <w:rsid w:val="00C9463A"/>
    <w:rsid w:val="00C94702"/>
    <w:rsid w:val="00C9487D"/>
    <w:rsid w:val="00C94EC1"/>
    <w:rsid w:val="00C954AD"/>
    <w:rsid w:val="00C96192"/>
    <w:rsid w:val="00C96C6C"/>
    <w:rsid w:val="00C97613"/>
    <w:rsid w:val="00C97AB7"/>
    <w:rsid w:val="00C97E14"/>
    <w:rsid w:val="00CA0AA1"/>
    <w:rsid w:val="00CA0ACF"/>
    <w:rsid w:val="00CA2411"/>
    <w:rsid w:val="00CA4250"/>
    <w:rsid w:val="00CA4315"/>
    <w:rsid w:val="00CA5D18"/>
    <w:rsid w:val="00CA6ED4"/>
    <w:rsid w:val="00CA6F71"/>
    <w:rsid w:val="00CA702F"/>
    <w:rsid w:val="00CA75AF"/>
    <w:rsid w:val="00CA7E0F"/>
    <w:rsid w:val="00CB034C"/>
    <w:rsid w:val="00CB069D"/>
    <w:rsid w:val="00CB07EE"/>
    <w:rsid w:val="00CB1FD4"/>
    <w:rsid w:val="00CB236F"/>
    <w:rsid w:val="00CB310E"/>
    <w:rsid w:val="00CB3A38"/>
    <w:rsid w:val="00CB3CF4"/>
    <w:rsid w:val="00CB4382"/>
    <w:rsid w:val="00CB43EC"/>
    <w:rsid w:val="00CB4542"/>
    <w:rsid w:val="00CB6A1A"/>
    <w:rsid w:val="00CB6E71"/>
    <w:rsid w:val="00CC0356"/>
    <w:rsid w:val="00CC0E4F"/>
    <w:rsid w:val="00CC117A"/>
    <w:rsid w:val="00CC1287"/>
    <w:rsid w:val="00CC17A1"/>
    <w:rsid w:val="00CC19D4"/>
    <w:rsid w:val="00CC31B6"/>
    <w:rsid w:val="00CC4581"/>
    <w:rsid w:val="00CC4792"/>
    <w:rsid w:val="00CC4A0A"/>
    <w:rsid w:val="00CC4BB5"/>
    <w:rsid w:val="00CC50CA"/>
    <w:rsid w:val="00CC5F97"/>
    <w:rsid w:val="00CC64F4"/>
    <w:rsid w:val="00CC6E7F"/>
    <w:rsid w:val="00CC7331"/>
    <w:rsid w:val="00CC795C"/>
    <w:rsid w:val="00CD00E3"/>
    <w:rsid w:val="00CD1092"/>
    <w:rsid w:val="00CD164A"/>
    <w:rsid w:val="00CD1DC0"/>
    <w:rsid w:val="00CD3D79"/>
    <w:rsid w:val="00CD5B8A"/>
    <w:rsid w:val="00CD5F8E"/>
    <w:rsid w:val="00CD60CA"/>
    <w:rsid w:val="00CD6E3B"/>
    <w:rsid w:val="00CD7F17"/>
    <w:rsid w:val="00CE0E44"/>
    <w:rsid w:val="00CE0EE0"/>
    <w:rsid w:val="00CE0F1F"/>
    <w:rsid w:val="00CE2901"/>
    <w:rsid w:val="00CE2C0F"/>
    <w:rsid w:val="00CE416D"/>
    <w:rsid w:val="00CE4BD0"/>
    <w:rsid w:val="00CE5041"/>
    <w:rsid w:val="00CE6685"/>
    <w:rsid w:val="00CE670D"/>
    <w:rsid w:val="00CE6A5E"/>
    <w:rsid w:val="00CE6AB8"/>
    <w:rsid w:val="00CE7F00"/>
    <w:rsid w:val="00CF06D6"/>
    <w:rsid w:val="00CF08BD"/>
    <w:rsid w:val="00CF2C0C"/>
    <w:rsid w:val="00CF2C72"/>
    <w:rsid w:val="00CF2F48"/>
    <w:rsid w:val="00CF41B6"/>
    <w:rsid w:val="00CF51EA"/>
    <w:rsid w:val="00CF5C17"/>
    <w:rsid w:val="00CF5FEA"/>
    <w:rsid w:val="00CF69F5"/>
    <w:rsid w:val="00CF716C"/>
    <w:rsid w:val="00CF7809"/>
    <w:rsid w:val="00D0127F"/>
    <w:rsid w:val="00D02129"/>
    <w:rsid w:val="00D024BE"/>
    <w:rsid w:val="00D03A28"/>
    <w:rsid w:val="00D04640"/>
    <w:rsid w:val="00D0498F"/>
    <w:rsid w:val="00D04BE5"/>
    <w:rsid w:val="00D062BB"/>
    <w:rsid w:val="00D067D6"/>
    <w:rsid w:val="00D06E3B"/>
    <w:rsid w:val="00D075C0"/>
    <w:rsid w:val="00D076CC"/>
    <w:rsid w:val="00D11449"/>
    <w:rsid w:val="00D12711"/>
    <w:rsid w:val="00D12C28"/>
    <w:rsid w:val="00D131DC"/>
    <w:rsid w:val="00D13502"/>
    <w:rsid w:val="00D13E52"/>
    <w:rsid w:val="00D1499C"/>
    <w:rsid w:val="00D14C72"/>
    <w:rsid w:val="00D15974"/>
    <w:rsid w:val="00D1646E"/>
    <w:rsid w:val="00D16D00"/>
    <w:rsid w:val="00D16F70"/>
    <w:rsid w:val="00D1765A"/>
    <w:rsid w:val="00D2084D"/>
    <w:rsid w:val="00D211CE"/>
    <w:rsid w:val="00D21556"/>
    <w:rsid w:val="00D2238E"/>
    <w:rsid w:val="00D227F8"/>
    <w:rsid w:val="00D2304E"/>
    <w:rsid w:val="00D243C1"/>
    <w:rsid w:val="00D24667"/>
    <w:rsid w:val="00D24770"/>
    <w:rsid w:val="00D24C2F"/>
    <w:rsid w:val="00D26A48"/>
    <w:rsid w:val="00D27500"/>
    <w:rsid w:val="00D27801"/>
    <w:rsid w:val="00D27913"/>
    <w:rsid w:val="00D27C76"/>
    <w:rsid w:val="00D27DEE"/>
    <w:rsid w:val="00D30281"/>
    <w:rsid w:val="00D30E65"/>
    <w:rsid w:val="00D31025"/>
    <w:rsid w:val="00D310AA"/>
    <w:rsid w:val="00D31412"/>
    <w:rsid w:val="00D31C7F"/>
    <w:rsid w:val="00D31D02"/>
    <w:rsid w:val="00D3353A"/>
    <w:rsid w:val="00D33A0E"/>
    <w:rsid w:val="00D33DA0"/>
    <w:rsid w:val="00D3447D"/>
    <w:rsid w:val="00D347A6"/>
    <w:rsid w:val="00D35F1A"/>
    <w:rsid w:val="00D36317"/>
    <w:rsid w:val="00D369E4"/>
    <w:rsid w:val="00D37721"/>
    <w:rsid w:val="00D41582"/>
    <w:rsid w:val="00D41DD9"/>
    <w:rsid w:val="00D4284C"/>
    <w:rsid w:val="00D42D9C"/>
    <w:rsid w:val="00D43019"/>
    <w:rsid w:val="00D44479"/>
    <w:rsid w:val="00D446D9"/>
    <w:rsid w:val="00D45075"/>
    <w:rsid w:val="00D45E8B"/>
    <w:rsid w:val="00D4710A"/>
    <w:rsid w:val="00D50394"/>
    <w:rsid w:val="00D5073B"/>
    <w:rsid w:val="00D51455"/>
    <w:rsid w:val="00D5173C"/>
    <w:rsid w:val="00D5206D"/>
    <w:rsid w:val="00D5226B"/>
    <w:rsid w:val="00D523B9"/>
    <w:rsid w:val="00D52880"/>
    <w:rsid w:val="00D539EA"/>
    <w:rsid w:val="00D53D31"/>
    <w:rsid w:val="00D54C39"/>
    <w:rsid w:val="00D54E77"/>
    <w:rsid w:val="00D55875"/>
    <w:rsid w:val="00D55B47"/>
    <w:rsid w:val="00D55C08"/>
    <w:rsid w:val="00D57EFA"/>
    <w:rsid w:val="00D61777"/>
    <w:rsid w:val="00D61C8E"/>
    <w:rsid w:val="00D6219E"/>
    <w:rsid w:val="00D6281E"/>
    <w:rsid w:val="00D62D05"/>
    <w:rsid w:val="00D6457A"/>
    <w:rsid w:val="00D652B9"/>
    <w:rsid w:val="00D66195"/>
    <w:rsid w:val="00D66702"/>
    <w:rsid w:val="00D678D2"/>
    <w:rsid w:val="00D711D4"/>
    <w:rsid w:val="00D71435"/>
    <w:rsid w:val="00D71F3F"/>
    <w:rsid w:val="00D72096"/>
    <w:rsid w:val="00D7271A"/>
    <w:rsid w:val="00D72C46"/>
    <w:rsid w:val="00D730E4"/>
    <w:rsid w:val="00D73701"/>
    <w:rsid w:val="00D73711"/>
    <w:rsid w:val="00D739F0"/>
    <w:rsid w:val="00D73D5F"/>
    <w:rsid w:val="00D74698"/>
    <w:rsid w:val="00D74802"/>
    <w:rsid w:val="00D74949"/>
    <w:rsid w:val="00D75069"/>
    <w:rsid w:val="00D755A3"/>
    <w:rsid w:val="00D75A58"/>
    <w:rsid w:val="00D75A75"/>
    <w:rsid w:val="00D75ED7"/>
    <w:rsid w:val="00D76681"/>
    <w:rsid w:val="00D8026E"/>
    <w:rsid w:val="00D805BE"/>
    <w:rsid w:val="00D80FE2"/>
    <w:rsid w:val="00D810F5"/>
    <w:rsid w:val="00D81265"/>
    <w:rsid w:val="00D81BEA"/>
    <w:rsid w:val="00D82944"/>
    <w:rsid w:val="00D82BEE"/>
    <w:rsid w:val="00D82F9D"/>
    <w:rsid w:val="00D83663"/>
    <w:rsid w:val="00D83811"/>
    <w:rsid w:val="00D84DEB"/>
    <w:rsid w:val="00D84FB9"/>
    <w:rsid w:val="00D864EA"/>
    <w:rsid w:val="00D86909"/>
    <w:rsid w:val="00D919FC"/>
    <w:rsid w:val="00D9294B"/>
    <w:rsid w:val="00D92CD7"/>
    <w:rsid w:val="00D9304A"/>
    <w:rsid w:val="00D95033"/>
    <w:rsid w:val="00D95120"/>
    <w:rsid w:val="00D95BD5"/>
    <w:rsid w:val="00D96862"/>
    <w:rsid w:val="00D968AE"/>
    <w:rsid w:val="00D97C0D"/>
    <w:rsid w:val="00D97CEB"/>
    <w:rsid w:val="00DA0E2D"/>
    <w:rsid w:val="00DA0E47"/>
    <w:rsid w:val="00DA1FCA"/>
    <w:rsid w:val="00DA250A"/>
    <w:rsid w:val="00DA34EC"/>
    <w:rsid w:val="00DA503B"/>
    <w:rsid w:val="00DA58F3"/>
    <w:rsid w:val="00DA6778"/>
    <w:rsid w:val="00DA677A"/>
    <w:rsid w:val="00DA6B94"/>
    <w:rsid w:val="00DA7CC1"/>
    <w:rsid w:val="00DB1798"/>
    <w:rsid w:val="00DB2573"/>
    <w:rsid w:val="00DB2925"/>
    <w:rsid w:val="00DB4000"/>
    <w:rsid w:val="00DB5454"/>
    <w:rsid w:val="00DB57B3"/>
    <w:rsid w:val="00DB5905"/>
    <w:rsid w:val="00DB6400"/>
    <w:rsid w:val="00DB6A9F"/>
    <w:rsid w:val="00DB7048"/>
    <w:rsid w:val="00DB773B"/>
    <w:rsid w:val="00DC0493"/>
    <w:rsid w:val="00DC0E86"/>
    <w:rsid w:val="00DC4A82"/>
    <w:rsid w:val="00DC6528"/>
    <w:rsid w:val="00DC76E9"/>
    <w:rsid w:val="00DC78F0"/>
    <w:rsid w:val="00DC798E"/>
    <w:rsid w:val="00DD06FE"/>
    <w:rsid w:val="00DD1287"/>
    <w:rsid w:val="00DD149F"/>
    <w:rsid w:val="00DD2022"/>
    <w:rsid w:val="00DD2A5E"/>
    <w:rsid w:val="00DD3497"/>
    <w:rsid w:val="00DD5777"/>
    <w:rsid w:val="00DD5E2E"/>
    <w:rsid w:val="00DE08D9"/>
    <w:rsid w:val="00DE0E0D"/>
    <w:rsid w:val="00DE1209"/>
    <w:rsid w:val="00DE1CCC"/>
    <w:rsid w:val="00DE20EE"/>
    <w:rsid w:val="00DE24BB"/>
    <w:rsid w:val="00DE3BB5"/>
    <w:rsid w:val="00DE3EB4"/>
    <w:rsid w:val="00DE473C"/>
    <w:rsid w:val="00DE4E5F"/>
    <w:rsid w:val="00DE72D2"/>
    <w:rsid w:val="00DE75A8"/>
    <w:rsid w:val="00DF135E"/>
    <w:rsid w:val="00DF1692"/>
    <w:rsid w:val="00DF3255"/>
    <w:rsid w:val="00DF376E"/>
    <w:rsid w:val="00DF3DF8"/>
    <w:rsid w:val="00DF4A73"/>
    <w:rsid w:val="00DF4BF9"/>
    <w:rsid w:val="00DF56BE"/>
    <w:rsid w:val="00DF63E3"/>
    <w:rsid w:val="00DF64A2"/>
    <w:rsid w:val="00DF789D"/>
    <w:rsid w:val="00DF7FE8"/>
    <w:rsid w:val="00E017FD"/>
    <w:rsid w:val="00E01F0A"/>
    <w:rsid w:val="00E026B6"/>
    <w:rsid w:val="00E04657"/>
    <w:rsid w:val="00E04B46"/>
    <w:rsid w:val="00E04DD5"/>
    <w:rsid w:val="00E057DD"/>
    <w:rsid w:val="00E05F9A"/>
    <w:rsid w:val="00E0606E"/>
    <w:rsid w:val="00E06126"/>
    <w:rsid w:val="00E065EC"/>
    <w:rsid w:val="00E066E5"/>
    <w:rsid w:val="00E06BEB"/>
    <w:rsid w:val="00E07383"/>
    <w:rsid w:val="00E0784A"/>
    <w:rsid w:val="00E10487"/>
    <w:rsid w:val="00E114C4"/>
    <w:rsid w:val="00E11C80"/>
    <w:rsid w:val="00E1227C"/>
    <w:rsid w:val="00E1247B"/>
    <w:rsid w:val="00E129BD"/>
    <w:rsid w:val="00E13781"/>
    <w:rsid w:val="00E13CCE"/>
    <w:rsid w:val="00E140F8"/>
    <w:rsid w:val="00E14113"/>
    <w:rsid w:val="00E144AD"/>
    <w:rsid w:val="00E14FB8"/>
    <w:rsid w:val="00E15418"/>
    <w:rsid w:val="00E16253"/>
    <w:rsid w:val="00E16A9D"/>
    <w:rsid w:val="00E1748E"/>
    <w:rsid w:val="00E17525"/>
    <w:rsid w:val="00E17BB3"/>
    <w:rsid w:val="00E20120"/>
    <w:rsid w:val="00E202A4"/>
    <w:rsid w:val="00E2033B"/>
    <w:rsid w:val="00E204C6"/>
    <w:rsid w:val="00E21312"/>
    <w:rsid w:val="00E213C9"/>
    <w:rsid w:val="00E2187E"/>
    <w:rsid w:val="00E22BB4"/>
    <w:rsid w:val="00E237A9"/>
    <w:rsid w:val="00E2579B"/>
    <w:rsid w:val="00E25CBB"/>
    <w:rsid w:val="00E27863"/>
    <w:rsid w:val="00E27ADB"/>
    <w:rsid w:val="00E27D9A"/>
    <w:rsid w:val="00E300C0"/>
    <w:rsid w:val="00E30B66"/>
    <w:rsid w:val="00E30BE2"/>
    <w:rsid w:val="00E3188B"/>
    <w:rsid w:val="00E33B3F"/>
    <w:rsid w:val="00E35203"/>
    <w:rsid w:val="00E35253"/>
    <w:rsid w:val="00E3533A"/>
    <w:rsid w:val="00E35A99"/>
    <w:rsid w:val="00E374C0"/>
    <w:rsid w:val="00E40A85"/>
    <w:rsid w:val="00E41266"/>
    <w:rsid w:val="00E412BD"/>
    <w:rsid w:val="00E41A6B"/>
    <w:rsid w:val="00E42408"/>
    <w:rsid w:val="00E429F6"/>
    <w:rsid w:val="00E45563"/>
    <w:rsid w:val="00E45A6E"/>
    <w:rsid w:val="00E466F0"/>
    <w:rsid w:val="00E46886"/>
    <w:rsid w:val="00E46A66"/>
    <w:rsid w:val="00E471ED"/>
    <w:rsid w:val="00E47986"/>
    <w:rsid w:val="00E519B1"/>
    <w:rsid w:val="00E524D3"/>
    <w:rsid w:val="00E5286F"/>
    <w:rsid w:val="00E52F1C"/>
    <w:rsid w:val="00E53656"/>
    <w:rsid w:val="00E5472E"/>
    <w:rsid w:val="00E55D0B"/>
    <w:rsid w:val="00E57AAC"/>
    <w:rsid w:val="00E60B9F"/>
    <w:rsid w:val="00E61C62"/>
    <w:rsid w:val="00E61D10"/>
    <w:rsid w:val="00E61FAB"/>
    <w:rsid w:val="00E63245"/>
    <w:rsid w:val="00E63809"/>
    <w:rsid w:val="00E63FEC"/>
    <w:rsid w:val="00E673C9"/>
    <w:rsid w:val="00E67895"/>
    <w:rsid w:val="00E70607"/>
    <w:rsid w:val="00E70BF1"/>
    <w:rsid w:val="00E71132"/>
    <w:rsid w:val="00E72A77"/>
    <w:rsid w:val="00E73307"/>
    <w:rsid w:val="00E762C9"/>
    <w:rsid w:val="00E763EC"/>
    <w:rsid w:val="00E768D8"/>
    <w:rsid w:val="00E770EE"/>
    <w:rsid w:val="00E776E1"/>
    <w:rsid w:val="00E77AD5"/>
    <w:rsid w:val="00E77BAF"/>
    <w:rsid w:val="00E77E5A"/>
    <w:rsid w:val="00E8033E"/>
    <w:rsid w:val="00E803C0"/>
    <w:rsid w:val="00E81331"/>
    <w:rsid w:val="00E82255"/>
    <w:rsid w:val="00E83836"/>
    <w:rsid w:val="00E8512B"/>
    <w:rsid w:val="00E8549A"/>
    <w:rsid w:val="00E86204"/>
    <w:rsid w:val="00E867CC"/>
    <w:rsid w:val="00E86C7B"/>
    <w:rsid w:val="00E87731"/>
    <w:rsid w:val="00E87B54"/>
    <w:rsid w:val="00E903A1"/>
    <w:rsid w:val="00E91157"/>
    <w:rsid w:val="00E91298"/>
    <w:rsid w:val="00E91B43"/>
    <w:rsid w:val="00E93819"/>
    <w:rsid w:val="00E9471B"/>
    <w:rsid w:val="00E94B28"/>
    <w:rsid w:val="00E94B36"/>
    <w:rsid w:val="00E95AB1"/>
    <w:rsid w:val="00E9726B"/>
    <w:rsid w:val="00EA0C90"/>
    <w:rsid w:val="00EA0D47"/>
    <w:rsid w:val="00EA11EE"/>
    <w:rsid w:val="00EA1961"/>
    <w:rsid w:val="00EA1BF8"/>
    <w:rsid w:val="00EA32FA"/>
    <w:rsid w:val="00EA3416"/>
    <w:rsid w:val="00EA5925"/>
    <w:rsid w:val="00EA5E20"/>
    <w:rsid w:val="00EA6071"/>
    <w:rsid w:val="00EA64C6"/>
    <w:rsid w:val="00EA7D67"/>
    <w:rsid w:val="00EB0748"/>
    <w:rsid w:val="00EB0EB6"/>
    <w:rsid w:val="00EB3278"/>
    <w:rsid w:val="00EB4723"/>
    <w:rsid w:val="00EB4D46"/>
    <w:rsid w:val="00EB5E62"/>
    <w:rsid w:val="00EB7A0F"/>
    <w:rsid w:val="00EC00F4"/>
    <w:rsid w:val="00EC0298"/>
    <w:rsid w:val="00EC0354"/>
    <w:rsid w:val="00EC22CB"/>
    <w:rsid w:val="00EC3155"/>
    <w:rsid w:val="00EC379E"/>
    <w:rsid w:val="00EC435E"/>
    <w:rsid w:val="00EC44CE"/>
    <w:rsid w:val="00EC4A4A"/>
    <w:rsid w:val="00EC4C48"/>
    <w:rsid w:val="00EC4D9E"/>
    <w:rsid w:val="00EC4DDE"/>
    <w:rsid w:val="00EC56BC"/>
    <w:rsid w:val="00EC5A5E"/>
    <w:rsid w:val="00EC62D4"/>
    <w:rsid w:val="00EC67BF"/>
    <w:rsid w:val="00EC6E68"/>
    <w:rsid w:val="00EC7694"/>
    <w:rsid w:val="00ED237F"/>
    <w:rsid w:val="00ED2504"/>
    <w:rsid w:val="00ED2F00"/>
    <w:rsid w:val="00ED2FB4"/>
    <w:rsid w:val="00ED3582"/>
    <w:rsid w:val="00ED3776"/>
    <w:rsid w:val="00ED388D"/>
    <w:rsid w:val="00ED3DC1"/>
    <w:rsid w:val="00ED3FB6"/>
    <w:rsid w:val="00ED4394"/>
    <w:rsid w:val="00ED5F91"/>
    <w:rsid w:val="00ED68A1"/>
    <w:rsid w:val="00ED6EB5"/>
    <w:rsid w:val="00ED7842"/>
    <w:rsid w:val="00ED7D22"/>
    <w:rsid w:val="00EE198D"/>
    <w:rsid w:val="00EE27D6"/>
    <w:rsid w:val="00EE285D"/>
    <w:rsid w:val="00EE290A"/>
    <w:rsid w:val="00EE5FFC"/>
    <w:rsid w:val="00EE6D72"/>
    <w:rsid w:val="00EE7380"/>
    <w:rsid w:val="00EE7CDF"/>
    <w:rsid w:val="00EF091E"/>
    <w:rsid w:val="00EF094C"/>
    <w:rsid w:val="00EF099E"/>
    <w:rsid w:val="00EF2446"/>
    <w:rsid w:val="00EF2774"/>
    <w:rsid w:val="00EF303B"/>
    <w:rsid w:val="00EF35DF"/>
    <w:rsid w:val="00EF446E"/>
    <w:rsid w:val="00EF4A87"/>
    <w:rsid w:val="00EF5DC3"/>
    <w:rsid w:val="00EF6650"/>
    <w:rsid w:val="00EF6AE3"/>
    <w:rsid w:val="00EF7CA6"/>
    <w:rsid w:val="00F010EF"/>
    <w:rsid w:val="00F0155F"/>
    <w:rsid w:val="00F01F6F"/>
    <w:rsid w:val="00F02045"/>
    <w:rsid w:val="00F04687"/>
    <w:rsid w:val="00F04D68"/>
    <w:rsid w:val="00F05216"/>
    <w:rsid w:val="00F05855"/>
    <w:rsid w:val="00F06064"/>
    <w:rsid w:val="00F06517"/>
    <w:rsid w:val="00F11049"/>
    <w:rsid w:val="00F1148A"/>
    <w:rsid w:val="00F11CCD"/>
    <w:rsid w:val="00F126A2"/>
    <w:rsid w:val="00F139A6"/>
    <w:rsid w:val="00F14E1E"/>
    <w:rsid w:val="00F14F08"/>
    <w:rsid w:val="00F14F71"/>
    <w:rsid w:val="00F15D79"/>
    <w:rsid w:val="00F16111"/>
    <w:rsid w:val="00F16674"/>
    <w:rsid w:val="00F1709F"/>
    <w:rsid w:val="00F17694"/>
    <w:rsid w:val="00F20096"/>
    <w:rsid w:val="00F202E5"/>
    <w:rsid w:val="00F20C6B"/>
    <w:rsid w:val="00F20D43"/>
    <w:rsid w:val="00F21C18"/>
    <w:rsid w:val="00F2227D"/>
    <w:rsid w:val="00F22AFD"/>
    <w:rsid w:val="00F230C0"/>
    <w:rsid w:val="00F230D6"/>
    <w:rsid w:val="00F24826"/>
    <w:rsid w:val="00F24942"/>
    <w:rsid w:val="00F26385"/>
    <w:rsid w:val="00F27B90"/>
    <w:rsid w:val="00F27B93"/>
    <w:rsid w:val="00F27CFE"/>
    <w:rsid w:val="00F30BD7"/>
    <w:rsid w:val="00F30F76"/>
    <w:rsid w:val="00F3167A"/>
    <w:rsid w:val="00F31944"/>
    <w:rsid w:val="00F31EE9"/>
    <w:rsid w:val="00F327C9"/>
    <w:rsid w:val="00F3378C"/>
    <w:rsid w:val="00F34169"/>
    <w:rsid w:val="00F34270"/>
    <w:rsid w:val="00F34DB6"/>
    <w:rsid w:val="00F35044"/>
    <w:rsid w:val="00F3638B"/>
    <w:rsid w:val="00F363B2"/>
    <w:rsid w:val="00F368A3"/>
    <w:rsid w:val="00F369B4"/>
    <w:rsid w:val="00F36BAC"/>
    <w:rsid w:val="00F3760D"/>
    <w:rsid w:val="00F377D5"/>
    <w:rsid w:val="00F37BC3"/>
    <w:rsid w:val="00F4000F"/>
    <w:rsid w:val="00F40202"/>
    <w:rsid w:val="00F40694"/>
    <w:rsid w:val="00F410B7"/>
    <w:rsid w:val="00F415F9"/>
    <w:rsid w:val="00F421B5"/>
    <w:rsid w:val="00F42C38"/>
    <w:rsid w:val="00F42E80"/>
    <w:rsid w:val="00F42FA1"/>
    <w:rsid w:val="00F444C0"/>
    <w:rsid w:val="00F44A9F"/>
    <w:rsid w:val="00F457BC"/>
    <w:rsid w:val="00F45FB8"/>
    <w:rsid w:val="00F4646C"/>
    <w:rsid w:val="00F46921"/>
    <w:rsid w:val="00F50EB9"/>
    <w:rsid w:val="00F51429"/>
    <w:rsid w:val="00F52B9A"/>
    <w:rsid w:val="00F52CEB"/>
    <w:rsid w:val="00F52E8A"/>
    <w:rsid w:val="00F53234"/>
    <w:rsid w:val="00F53694"/>
    <w:rsid w:val="00F54596"/>
    <w:rsid w:val="00F547CC"/>
    <w:rsid w:val="00F55A3D"/>
    <w:rsid w:val="00F55DF4"/>
    <w:rsid w:val="00F55E19"/>
    <w:rsid w:val="00F566D0"/>
    <w:rsid w:val="00F568F6"/>
    <w:rsid w:val="00F5787C"/>
    <w:rsid w:val="00F57C77"/>
    <w:rsid w:val="00F57FB8"/>
    <w:rsid w:val="00F601F8"/>
    <w:rsid w:val="00F60CB5"/>
    <w:rsid w:val="00F62A60"/>
    <w:rsid w:val="00F64A28"/>
    <w:rsid w:val="00F65643"/>
    <w:rsid w:val="00F6576C"/>
    <w:rsid w:val="00F6756B"/>
    <w:rsid w:val="00F70C85"/>
    <w:rsid w:val="00F727B4"/>
    <w:rsid w:val="00F72D1A"/>
    <w:rsid w:val="00F72FFB"/>
    <w:rsid w:val="00F73D12"/>
    <w:rsid w:val="00F74FE4"/>
    <w:rsid w:val="00F75319"/>
    <w:rsid w:val="00F75A88"/>
    <w:rsid w:val="00F75FA3"/>
    <w:rsid w:val="00F76CAD"/>
    <w:rsid w:val="00F771F3"/>
    <w:rsid w:val="00F773F5"/>
    <w:rsid w:val="00F7796B"/>
    <w:rsid w:val="00F77C76"/>
    <w:rsid w:val="00F80EDB"/>
    <w:rsid w:val="00F81972"/>
    <w:rsid w:val="00F81B6D"/>
    <w:rsid w:val="00F82077"/>
    <w:rsid w:val="00F82175"/>
    <w:rsid w:val="00F8381E"/>
    <w:rsid w:val="00F844C5"/>
    <w:rsid w:val="00F84FA7"/>
    <w:rsid w:val="00F852FD"/>
    <w:rsid w:val="00F867C0"/>
    <w:rsid w:val="00F86F82"/>
    <w:rsid w:val="00F90069"/>
    <w:rsid w:val="00F910F6"/>
    <w:rsid w:val="00F92841"/>
    <w:rsid w:val="00F93348"/>
    <w:rsid w:val="00F93731"/>
    <w:rsid w:val="00F93D33"/>
    <w:rsid w:val="00F95988"/>
    <w:rsid w:val="00F9611F"/>
    <w:rsid w:val="00F96876"/>
    <w:rsid w:val="00F9771E"/>
    <w:rsid w:val="00F97D6F"/>
    <w:rsid w:val="00FA29A3"/>
    <w:rsid w:val="00FA3B24"/>
    <w:rsid w:val="00FA4E5A"/>
    <w:rsid w:val="00FA4E5C"/>
    <w:rsid w:val="00FA516E"/>
    <w:rsid w:val="00FA56D6"/>
    <w:rsid w:val="00FA5727"/>
    <w:rsid w:val="00FA6AEF"/>
    <w:rsid w:val="00FB10C0"/>
    <w:rsid w:val="00FB132A"/>
    <w:rsid w:val="00FB1500"/>
    <w:rsid w:val="00FB1C48"/>
    <w:rsid w:val="00FB1C66"/>
    <w:rsid w:val="00FB39AF"/>
    <w:rsid w:val="00FB3DE9"/>
    <w:rsid w:val="00FB45AA"/>
    <w:rsid w:val="00FB57AA"/>
    <w:rsid w:val="00FB5BF3"/>
    <w:rsid w:val="00FB68D4"/>
    <w:rsid w:val="00FB695E"/>
    <w:rsid w:val="00FB6C53"/>
    <w:rsid w:val="00FB6EEA"/>
    <w:rsid w:val="00FC00FB"/>
    <w:rsid w:val="00FC0140"/>
    <w:rsid w:val="00FC0827"/>
    <w:rsid w:val="00FC383D"/>
    <w:rsid w:val="00FC394B"/>
    <w:rsid w:val="00FC404D"/>
    <w:rsid w:val="00FC40E1"/>
    <w:rsid w:val="00FC47B0"/>
    <w:rsid w:val="00FC47FB"/>
    <w:rsid w:val="00FC520F"/>
    <w:rsid w:val="00FC55F6"/>
    <w:rsid w:val="00FC6986"/>
    <w:rsid w:val="00FC6A6B"/>
    <w:rsid w:val="00FC6ECC"/>
    <w:rsid w:val="00FC71AB"/>
    <w:rsid w:val="00FC77E8"/>
    <w:rsid w:val="00FC7A46"/>
    <w:rsid w:val="00FD02E3"/>
    <w:rsid w:val="00FD20B2"/>
    <w:rsid w:val="00FD2C10"/>
    <w:rsid w:val="00FD36BD"/>
    <w:rsid w:val="00FD39FE"/>
    <w:rsid w:val="00FD3A1A"/>
    <w:rsid w:val="00FD3F7B"/>
    <w:rsid w:val="00FD4E54"/>
    <w:rsid w:val="00FD4FFF"/>
    <w:rsid w:val="00FD6681"/>
    <w:rsid w:val="00FD67FC"/>
    <w:rsid w:val="00FD6F1C"/>
    <w:rsid w:val="00FD7CC4"/>
    <w:rsid w:val="00FE120A"/>
    <w:rsid w:val="00FE14A1"/>
    <w:rsid w:val="00FE1614"/>
    <w:rsid w:val="00FE1CDF"/>
    <w:rsid w:val="00FE1DA9"/>
    <w:rsid w:val="00FE1EA6"/>
    <w:rsid w:val="00FE2694"/>
    <w:rsid w:val="00FE29E1"/>
    <w:rsid w:val="00FE30DA"/>
    <w:rsid w:val="00FE3A49"/>
    <w:rsid w:val="00FE46A7"/>
    <w:rsid w:val="00FE4EC8"/>
    <w:rsid w:val="00FE504A"/>
    <w:rsid w:val="00FE5384"/>
    <w:rsid w:val="00FE61EB"/>
    <w:rsid w:val="00FE6675"/>
    <w:rsid w:val="00FE7ABF"/>
    <w:rsid w:val="00FE7B9C"/>
    <w:rsid w:val="00FF1917"/>
    <w:rsid w:val="00FF1E47"/>
    <w:rsid w:val="00FF2630"/>
    <w:rsid w:val="00FF26B1"/>
    <w:rsid w:val="00FF3775"/>
    <w:rsid w:val="00FF4077"/>
    <w:rsid w:val="00FF41BF"/>
    <w:rsid w:val="00FF440F"/>
    <w:rsid w:val="00FF5257"/>
    <w:rsid w:val="00FF6001"/>
    <w:rsid w:val="00FF67FA"/>
    <w:rsid w:val="00FF689A"/>
    <w:rsid w:val="00FF6AB0"/>
    <w:rsid w:val="00FF7430"/>
    <w:rsid w:val="00FF7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99"/>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 w:type="paragraph" w:customStyle="1" w:styleId="OTENormal">
    <w:name w:val="OTE Normal"/>
    <w:basedOn w:val="Normal"/>
    <w:autoRedefine/>
    <w:qFormat/>
    <w:rsid w:val="00AA195C"/>
    <w:pPr>
      <w:tabs>
        <w:tab w:val="left" w:pos="6946"/>
      </w:tabs>
      <w:suppressAutoHyphens/>
      <w:spacing w:after="0" w:line="240" w:lineRule="auto"/>
      <w:jc w:val="both"/>
    </w:pPr>
    <w:rPr>
      <w:rFonts w:ascii="Franklin Gothic Book" w:eastAsia="Times New Roman" w:hAnsi="Franklin Gothic Book" w:cs="Times New Roman"/>
      <w:spacing w:val="-2"/>
      <w:sz w:val="20"/>
      <w:szCs w:val="20"/>
    </w:rPr>
  </w:style>
  <w:style w:type="character" w:customStyle="1" w:styleId="cf01">
    <w:name w:val="cf01"/>
    <w:basedOn w:val="DefaultParagraphFont"/>
    <w:rsid w:val="007F32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966">
      <w:bodyDiv w:val="1"/>
      <w:marLeft w:val="0"/>
      <w:marRight w:val="0"/>
      <w:marTop w:val="0"/>
      <w:marBottom w:val="0"/>
      <w:divBdr>
        <w:top w:val="none" w:sz="0" w:space="0" w:color="auto"/>
        <w:left w:val="none" w:sz="0" w:space="0" w:color="auto"/>
        <w:bottom w:val="none" w:sz="0" w:space="0" w:color="auto"/>
        <w:right w:val="none" w:sz="0" w:space="0" w:color="auto"/>
      </w:divBdr>
    </w:div>
    <w:div w:id="60179147">
      <w:bodyDiv w:val="1"/>
      <w:marLeft w:val="0"/>
      <w:marRight w:val="0"/>
      <w:marTop w:val="0"/>
      <w:marBottom w:val="0"/>
      <w:divBdr>
        <w:top w:val="none" w:sz="0" w:space="0" w:color="auto"/>
        <w:left w:val="none" w:sz="0" w:space="0" w:color="auto"/>
        <w:bottom w:val="none" w:sz="0" w:space="0" w:color="auto"/>
        <w:right w:val="none" w:sz="0" w:space="0" w:color="auto"/>
      </w:divBdr>
    </w:div>
    <w:div w:id="232203318">
      <w:bodyDiv w:val="1"/>
      <w:marLeft w:val="0"/>
      <w:marRight w:val="0"/>
      <w:marTop w:val="0"/>
      <w:marBottom w:val="0"/>
      <w:divBdr>
        <w:top w:val="none" w:sz="0" w:space="0" w:color="auto"/>
        <w:left w:val="none" w:sz="0" w:space="0" w:color="auto"/>
        <w:bottom w:val="none" w:sz="0" w:space="0" w:color="auto"/>
        <w:right w:val="none" w:sz="0" w:space="0" w:color="auto"/>
      </w:divBdr>
    </w:div>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185049553">
      <w:bodyDiv w:val="1"/>
      <w:marLeft w:val="0"/>
      <w:marRight w:val="0"/>
      <w:marTop w:val="0"/>
      <w:marBottom w:val="0"/>
      <w:divBdr>
        <w:top w:val="none" w:sz="0" w:space="0" w:color="auto"/>
        <w:left w:val="none" w:sz="0" w:space="0" w:color="auto"/>
        <w:bottom w:val="none" w:sz="0" w:space="0" w:color="auto"/>
        <w:right w:val="none" w:sz="0" w:space="0" w:color="auto"/>
      </w:divBdr>
      <w:divsChild>
        <w:div w:id="732316125">
          <w:marLeft w:val="0"/>
          <w:marRight w:val="0"/>
          <w:marTop w:val="0"/>
          <w:marBottom w:val="0"/>
          <w:divBdr>
            <w:top w:val="none" w:sz="0" w:space="0" w:color="auto"/>
            <w:left w:val="none" w:sz="0" w:space="0" w:color="auto"/>
            <w:bottom w:val="none" w:sz="0" w:space="0" w:color="auto"/>
            <w:right w:val="none" w:sz="0" w:space="0" w:color="auto"/>
          </w:divBdr>
          <w:divsChild>
            <w:div w:id="2118911651">
              <w:marLeft w:val="0"/>
              <w:marRight w:val="0"/>
              <w:marTop w:val="0"/>
              <w:marBottom w:val="0"/>
              <w:divBdr>
                <w:top w:val="none" w:sz="0" w:space="0" w:color="auto"/>
                <w:left w:val="none" w:sz="0" w:space="0" w:color="auto"/>
                <w:bottom w:val="none" w:sz="0" w:space="0" w:color="auto"/>
                <w:right w:val="none" w:sz="0" w:space="0" w:color="auto"/>
              </w:divBdr>
              <w:divsChild>
                <w:div w:id="655063122">
                  <w:marLeft w:val="0"/>
                  <w:marRight w:val="0"/>
                  <w:marTop w:val="0"/>
                  <w:marBottom w:val="0"/>
                  <w:divBdr>
                    <w:top w:val="none" w:sz="0" w:space="0" w:color="auto"/>
                    <w:left w:val="none" w:sz="0" w:space="0" w:color="auto"/>
                    <w:bottom w:val="none" w:sz="0" w:space="0" w:color="auto"/>
                    <w:right w:val="none" w:sz="0" w:space="0" w:color="auto"/>
                  </w:divBdr>
                  <w:divsChild>
                    <w:div w:id="681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1034">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 w:id="1958177250">
      <w:bodyDiv w:val="1"/>
      <w:marLeft w:val="0"/>
      <w:marRight w:val="0"/>
      <w:marTop w:val="0"/>
      <w:marBottom w:val="0"/>
      <w:divBdr>
        <w:top w:val="none" w:sz="0" w:space="0" w:color="auto"/>
        <w:left w:val="none" w:sz="0" w:space="0" w:color="auto"/>
        <w:bottom w:val="none" w:sz="0" w:space="0" w:color="auto"/>
        <w:right w:val="none" w:sz="0" w:space="0" w:color="auto"/>
      </w:divBdr>
      <w:divsChild>
        <w:div w:id="813260943">
          <w:marLeft w:val="0"/>
          <w:marRight w:val="0"/>
          <w:marTop w:val="0"/>
          <w:marBottom w:val="0"/>
          <w:divBdr>
            <w:top w:val="none" w:sz="0" w:space="0" w:color="auto"/>
            <w:left w:val="none" w:sz="0" w:space="0" w:color="auto"/>
            <w:bottom w:val="none" w:sz="0" w:space="0" w:color="auto"/>
            <w:right w:val="none" w:sz="0" w:space="0" w:color="auto"/>
          </w:divBdr>
          <w:divsChild>
            <w:div w:id="1776708410">
              <w:marLeft w:val="0"/>
              <w:marRight w:val="0"/>
              <w:marTop w:val="0"/>
              <w:marBottom w:val="0"/>
              <w:divBdr>
                <w:top w:val="none" w:sz="0" w:space="0" w:color="auto"/>
                <w:left w:val="none" w:sz="0" w:space="0" w:color="auto"/>
                <w:bottom w:val="none" w:sz="0" w:space="0" w:color="auto"/>
                <w:right w:val="none" w:sz="0" w:space="0" w:color="auto"/>
              </w:divBdr>
              <w:divsChild>
                <w:div w:id="709184133">
                  <w:marLeft w:val="0"/>
                  <w:marRight w:val="0"/>
                  <w:marTop w:val="0"/>
                  <w:marBottom w:val="0"/>
                  <w:divBdr>
                    <w:top w:val="none" w:sz="0" w:space="0" w:color="auto"/>
                    <w:left w:val="none" w:sz="0" w:space="0" w:color="auto"/>
                    <w:bottom w:val="none" w:sz="0" w:space="0" w:color="auto"/>
                    <w:right w:val="none" w:sz="0" w:space="0" w:color="auto"/>
                  </w:divBdr>
                  <w:divsChild>
                    <w:div w:id="6826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smote.gr/5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mote.gr/5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ckme.apifon.com/https%3A%2F%2F87399.themediaframe.eu%2Flinks%2Fotegroup250226.html/dXlJa3RYR2xnQVJxSDcyNkptUVpfWWF0WFUwMjRXSUllNnljaXRrM0VrRWxyaEh6eGVYYTVieWgtRnMyUC1ONVV6X3FjTVJWV3N2b1l2VmlOMXo0RGc9PQ/UVJzeEZsNVVYbFJSaEkzdTBBRW94b0NpMWx1VXhWckVXVG9ycm5Bc0Jjaz0/a1BrZ3RPMXRSR080QUFuV1YwZ2lFRGNxbzM2WGZOdUY5YkE0a3FOTHdRYm1kc1pTNWFXRGxWSzktWHlLX09DWUF2TV83SEFDTWFmX0V6VzFmY1p0blVDbVYxNUxqX0V3WE1udmxHOERqN3M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Props1.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2.xml><?xml version="1.0" encoding="utf-8"?>
<ds:datastoreItem xmlns:ds="http://schemas.openxmlformats.org/officeDocument/2006/customXml" ds:itemID="{9B02FBC1-B7BB-4180-872C-B066AA85A116}">
  <ds:schemaRefs>
    <ds:schemaRef ds:uri="http://schemas.microsoft.com/office/2006/documentManagement/types"/>
    <ds:schemaRef ds:uri="http://schemas.microsoft.com/office/2006/metadata/properties"/>
    <ds:schemaRef ds:uri="a63ba609-ed36-4a9e-b21f-a4dacc36b656"/>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customXml/itemProps5.xml><?xml version="1.0" encoding="utf-8"?>
<ds:datastoreItem xmlns:ds="http://schemas.openxmlformats.org/officeDocument/2006/customXml" ds:itemID="{7B775696-B112-48E5-A9BE-CD27A2580DA3}">
  <ds:schemaRefs>
    <ds:schemaRef ds:uri="office.server.policy"/>
  </ds:schemaRefs>
</ds:datastoreItem>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386</TotalTime>
  <Pages>17</Pages>
  <Words>7759</Words>
  <Characters>41904</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Boua Eleni</cp:lastModifiedBy>
  <cp:revision>58</cp:revision>
  <cp:lastPrinted>2025-02-25T15:39:00Z</cp:lastPrinted>
  <dcterms:created xsi:type="dcterms:W3CDTF">2025-02-24T11:59:00Z</dcterms:created>
  <dcterms:modified xsi:type="dcterms:W3CDTF">2025-02-26T07:35:00Z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